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4E41D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FD02AA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000A40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3A1813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5E6678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1DA1D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D7B1F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75200E0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D3354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CB00238" w14:textId="16111A82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03F50" w14:paraId="24438DE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865D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766F7F6" w14:textId="4C1A83FD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Interior Design</w:t>
            </w:r>
          </w:p>
        </w:tc>
      </w:tr>
    </w:tbl>
    <w:p w14:paraId="4EA8BD13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07E4F7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6A650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EB2C9A9" w14:textId="401CE0C7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EF25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F96D83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8BAF8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7DED44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95FE0BF" w14:textId="77777777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hab. Alicja Panasiewicz prof. UP</w:t>
            </w:r>
          </w:p>
          <w:p w14:paraId="7A837119" w14:textId="0446A7E3" w:rsidR="00F94468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M. Natkaniec-Pap</w:t>
            </w:r>
          </w:p>
        </w:tc>
      </w:tr>
      <w:tr w:rsidR="00827D3B" w14:paraId="40C6991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F0E9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D455B8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8D5E53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D7104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DECC1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EC389E5" w14:textId="57D201A8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E8DDFF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97668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746205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54744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AFD1E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8557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58CC8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4F840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AD23F02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09DCDF1A" w14:textId="77777777" w:rsidR="00F94468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Celem kursu jest rozszerzanie horyzontów myślenia o roli i funkcji przestrzeni i we wnętrzu; a także dyskurs dotyczący współczesnej przestrzeni publicznej. Wybrane zagadnienia będą odzwierciedleniem szybko zmieniających się miast, społeczeństwa i technologii. Kurs ma zapewnić fachową wiedzę z zakresu kreowania przestrzeni publicznej z uwzględnieniem  przestrzeni społecznej i prywatnej. W metodologii pracy istotne będzie rozwijanie umiejętności definiowania problemów indywidualnych i społecznych, ich badanie i wdrażanie. Szczególny istotnym zagadnieniem jest projektowanie prospołeczne i proekologiczne; poszukiwanie rozwiązań projektowych alternatywnych dla problemów globalizacji, gentryfikacji, zanieczyszczenia środowiska i nadmiernej konsumpcji.</w:t>
            </w:r>
          </w:p>
          <w:p w14:paraId="62D2C4BC" w14:textId="79678C2F" w:rsidR="00303F50" w:rsidRDefault="00F94468" w:rsidP="00F94468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Kurs prowadzony w języku polskim lub angielskim. Kurs może być realizowany w trybie hybrydowym lub zdalnym.</w:t>
            </w:r>
          </w:p>
        </w:tc>
      </w:tr>
    </w:tbl>
    <w:p w14:paraId="7EC7F9F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CDEC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ED139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81649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4499B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FB4C4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7755B84" w14:textId="1E65886A" w:rsidR="00303F50" w:rsidRDefault="00F94468" w:rsidP="00F94468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Ma szczegółową wiedzę w zakresie metodyki obszaru  sztuki i nauki niezbędną prowadzeniu do prowadzenia badań oraz do zastosowania w trakcie rozwiązywania złożonych problemów projektowania wzorniczego.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Zna wzorce leżące u podstaw kreacji i tworzy prace projektowe o wysokim poziomie oryginalności stylistycznej przy jednoczesnym zaplanowaniu  i zachowaniu funkcji praktycznych.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</w:tr>
      <w:tr w:rsidR="00303F50" w14:paraId="496B620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EC9EC4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C11963D" w14:textId="2D28DED2" w:rsidR="00F94468" w:rsidRDefault="00F94468" w:rsidP="00F94468">
            <w:pPr>
              <w:snapToGrid w:val="0"/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Kreatywnie posługuje się środkami plastycznymi takimi jak szkic odręczny w zakresie rysunku zawodowego, modelowanie i komputerowe wizualizacje projektów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umiejętności w zakresie modelowania gabarytowego, przestrzennego badania zakresów użytkowych oraz prototypowania.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  <w:p w14:paraId="3F94C58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A0421C1" w14:textId="77777777">
        <w:tc>
          <w:tcPr>
            <w:tcW w:w="1941" w:type="dxa"/>
            <w:shd w:val="clear" w:color="auto" w:fill="DBE5F1"/>
            <w:vAlign w:val="center"/>
          </w:tcPr>
          <w:p w14:paraId="379C7C0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14:paraId="579D6D37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Treści kursu są dostosowane indywidualnie do każdego studenta w zależności od jego tematu badawczego oraz stopnia zaawansowania. </w:t>
            </w:r>
          </w:p>
          <w:p w14:paraId="4D73B9E3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Stopień zaawansowania dostosowany do poziomu studenta. Możliwe jest uczestniczenie w kursie od podstaw lub jako kontynuacja uczestnictwa z poprzednich semestrów studiów. </w:t>
            </w:r>
          </w:p>
          <w:p w14:paraId="41A7B62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B8FC14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4F79F2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AA1A8DC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D7C5E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D021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CE0F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3ECE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48B9B1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CA805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5A9D35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F1E36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5285FA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8E9C6E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B80923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0EB51F9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752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F9DF55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9DA90A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58CCFEA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5EB47CF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C28ED02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05A16521" w14:textId="19191C0D" w:rsidR="00303F50" w:rsidRDefault="00F94468" w:rsidP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 ma świadomość jego konsekwencji 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365" w:type="dxa"/>
          </w:tcPr>
          <w:p w14:paraId="0AB19C50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K_W01</w:t>
            </w:r>
          </w:p>
          <w:p w14:paraId="5AC656D8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5FE75A3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0DF3A78A" w14:textId="77777777" w:rsidR="00F94468" w:rsidRDefault="00F94468" w:rsidP="00F94468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  <w:p w14:paraId="576F0AE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5A01715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K_W03</w:t>
            </w:r>
          </w:p>
          <w:p w14:paraId="04651BE0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5EB25FC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91D049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FB60939" w14:textId="09452E95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K_W06</w:t>
            </w:r>
          </w:p>
        </w:tc>
      </w:tr>
    </w:tbl>
    <w:p w14:paraId="0610EF6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2BCAFA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7F3E8E9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BACBD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CDD1B2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6663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3EC1052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033AE2A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72173F" w14:textId="7B0CDBB0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410" w:type="dxa"/>
          </w:tcPr>
          <w:p w14:paraId="333385B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K_U03</w:t>
            </w:r>
          </w:p>
          <w:p w14:paraId="5A9E44ED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4C72AD1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C24AEC" w14:textId="77777777" w:rsidR="00F94468" w:rsidRDefault="00F94468" w:rsidP="00F94468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3C12603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K_U02 </w:t>
            </w:r>
          </w:p>
          <w:p w14:paraId="43DC189B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DA8D22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0929522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1F29FDF" w14:textId="126FFC1E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>K_U08</w:t>
            </w:r>
          </w:p>
        </w:tc>
      </w:tr>
    </w:tbl>
    <w:p w14:paraId="123AD9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AD66A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2F507BF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919C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06E7E7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9F5BA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6C4C970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6D3726B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F1F645" w14:textId="1D884289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410" w:type="dxa"/>
          </w:tcPr>
          <w:p w14:paraId="39149D01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K_K05</w:t>
            </w:r>
          </w:p>
          <w:p w14:paraId="66D80395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080E4B44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76A24E7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2E168A6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br/>
              <w:t>K_K05</w:t>
            </w:r>
          </w:p>
          <w:p w14:paraId="31C8A57A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79811029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755E2BD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64E85196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3F8EDB08" w14:textId="77777777" w:rsidR="00F94468" w:rsidRDefault="00F94468" w:rsidP="00F94468">
            <w:pPr>
              <w:pStyle w:val="Default"/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14:paraId="14817DD3" w14:textId="66759F31" w:rsidR="00303F50" w:rsidRDefault="00F94468" w:rsidP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K_K06</w:t>
            </w:r>
          </w:p>
        </w:tc>
      </w:tr>
    </w:tbl>
    <w:p w14:paraId="0670B9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9AD7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85981F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0A359A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C0B1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2DBC68C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5B47B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804BA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870BF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1DA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933FC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45CADB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28142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0C1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62A2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A59B8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F087A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36330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F42AA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B99F7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BAB4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1A258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C2D62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17C5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EEF30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D6D1F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A59CC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1F7D6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F39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78F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B8CF67" w14:textId="1613B570" w:rsidR="00303F50" w:rsidRDefault="00F9446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8F973C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DBF0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9D19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D54FDCE" w14:textId="77777777">
        <w:trPr>
          <w:trHeight w:val="462"/>
        </w:trPr>
        <w:tc>
          <w:tcPr>
            <w:tcW w:w="1611" w:type="dxa"/>
            <w:vAlign w:val="center"/>
          </w:tcPr>
          <w:p w14:paraId="51423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54FCD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8D63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0B8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5DE2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B49B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D0AE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C5EE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99BA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48B11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61EC2B7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2520B86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88E3ED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734E292B" w14:textId="429BA874" w:rsidR="00303F50" w:rsidRDefault="00F94468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240DD7C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1C02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94EE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79730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9F5F3E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E1C7FA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5A04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65027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1CD4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1A4F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63BAE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058C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E541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140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1CC88F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EAF1B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EBA6C8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E216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75457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497955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9A44A0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8477C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9153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39DA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8EC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305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CD6D" w14:textId="69AB0CA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3B0A8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341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46BA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6CF6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568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ECED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5CB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E1E0E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649E44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BC678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4BB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2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ABB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E3743B" w14:textId="0B3C9F71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EEE47D" w14:textId="39F018F5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C035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46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23883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08BE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905F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A641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3194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1FB1D6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944123" w14:textId="779D4691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D939E07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2242D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C0DB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657B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F7FC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8540D8" w14:textId="2718D14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5729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DACA3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78BE63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0B7DBC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E3602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EC7D41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DEC5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8E674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11582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U01</w:t>
            </w:r>
          </w:p>
        </w:tc>
        <w:tc>
          <w:tcPr>
            <w:tcW w:w="666" w:type="dxa"/>
            <w:shd w:val="clear" w:color="auto" w:fill="FFFFFF"/>
          </w:tcPr>
          <w:p w14:paraId="3E6F27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041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AC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1FC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D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E30FA7" w14:textId="58A371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DC35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A27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78B4B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5D25C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40A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D53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A192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C32A4A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1C55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BFC5F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6C5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59C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FC2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F31B" w14:textId="42BB06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4E3019" w14:textId="150779F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7E8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D302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1E34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C71F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FFB9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394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03F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661DE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47CDAC" w14:textId="7C5B6DA9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6AA1042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3E867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9A945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FA9B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3D94D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2BB2B" w14:textId="17CF6FD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531EA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C228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551C2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2634A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DAEE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B800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4C0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D6B4B9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DE476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093F4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0F15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72B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3311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0D1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99BF7" w14:textId="01DD09D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1127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2CD7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A457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4ACD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1C0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553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92A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2528E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3F7AC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6552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B2F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142B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B29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AE4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B68BCB" w14:textId="042F05AB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DAF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F22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9567A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B2CA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1F5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CF9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03F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A9495E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0368F" w14:textId="7FD12C8D" w:rsidR="00303F50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5A05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99D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F24F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FE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39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D5F28" w14:textId="2ADEA6B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C85A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F1E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9471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63BA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365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5238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62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14714A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F060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6A579F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7526D7" w14:textId="77777777">
        <w:tc>
          <w:tcPr>
            <w:tcW w:w="1941" w:type="dxa"/>
            <w:shd w:val="clear" w:color="auto" w:fill="DBE5F1"/>
            <w:vAlign w:val="center"/>
          </w:tcPr>
          <w:p w14:paraId="15447D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2056232" w14:textId="02BB7F79" w:rsidR="00F94468" w:rsidRPr="00F94468" w:rsidRDefault="00303F50" w:rsidP="00F9446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94468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r w:rsidR="00F94468">
              <w:rPr>
                <w:rFonts w:ascii="Verdana" w:hAnsi="Verdana" w:cs="Verdana"/>
                <w:color w:val="000000"/>
                <w:sz w:val="16"/>
                <w:szCs w:val="16"/>
              </w:rPr>
              <w:t>semestralnego</w:t>
            </w:r>
            <w:r w:rsidR="00F94468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14:paraId="3DA892C5" w14:textId="53951FC9" w:rsidR="00303F50" w:rsidRDefault="00303F50" w:rsidP="00F94468">
            <w:pPr>
              <w:pStyle w:val="Zawartotabeli"/>
              <w:tabs>
                <w:tab w:val="left" w:pos="171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135A2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5FB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CFA14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7911E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F6A9555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6EF99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DBB3E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50B01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7F9B8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7F311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78BE4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071DA65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3B78B80D" w14:textId="77777777" w:rsidR="00303F50" w:rsidRDefault="00A4776E">
            <w:pPr>
              <w:pStyle w:val="BalloonTex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>Oczekiwanie – miejsca, przestrzenie, przedmioty lub sytuacje związane z „czynnością” oczekiwania.</w:t>
            </w:r>
          </w:p>
          <w:p w14:paraId="7CCBC5D8" w14:textId="2655C221" w:rsidR="00A4776E" w:rsidRDefault="00A4776E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Temat własny.</w:t>
            </w:r>
          </w:p>
        </w:tc>
      </w:tr>
    </w:tbl>
    <w:p w14:paraId="1AD40F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751DD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C06BA4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924918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AEFC52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B6C4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3EFD48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2B85DE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AE3EB30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071BE145" w14:textId="77777777" w:rsidR="00A4776E" w:rsidRDefault="00A4776E" w:rsidP="00A4776E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Magazyn projektowy 2+3D, Autoportret – pismo o dobrej przestrzeni, Architektura Murator,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Frame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Magazine,</w:t>
            </w:r>
          </w:p>
          <w:p w14:paraId="539DC478" w14:textId="77777777" w:rsidR="00A4776E" w:rsidRDefault="00A4776E" w:rsidP="00A4776E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Wallpaper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Icon </w:t>
            </w:r>
          </w:p>
          <w:p w14:paraId="25F88A72" w14:textId="66871678" w:rsidR="00303F50" w:rsidRDefault="00A4776E" w:rsidP="00A4776E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Rudolf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Arnheim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Dynamika formy architektonicznej</w:t>
            </w:r>
          </w:p>
        </w:tc>
      </w:tr>
    </w:tbl>
    <w:p w14:paraId="24C27DF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67F57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34032D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6CE5B5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40EC2C51" w14:textId="7D11D2AB" w:rsidR="00303F50" w:rsidRDefault="00A4776E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Strona internetowa: </w:t>
            </w:r>
            <w:hyperlink r:id="rId10" w:history="1">
              <w:r>
                <w:rPr>
                  <w:rStyle w:val="Hipercze"/>
                  <w:rFonts w:ascii="Calibri" w:hAnsi="Calibri" w:cs="Calibri"/>
                </w:rPr>
                <w:t>www.dezeen.com</w:t>
              </w:r>
            </w:hyperlink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hyperlink r:id="rId11" w:history="1">
              <w:r>
                <w:rPr>
                  <w:rStyle w:val="Hipercze"/>
                  <w:rFonts w:ascii="Calibri" w:hAnsi="Calibri" w:cs="Calibri"/>
                </w:rPr>
                <w:t>www.bryla.pl</w:t>
              </w:r>
            </w:hyperlink>
          </w:p>
        </w:tc>
      </w:tr>
    </w:tbl>
    <w:p w14:paraId="4FB5392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5D81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C497501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291A97FB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C45525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3BCE0D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4015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prowadzącymi</w:t>
            </w:r>
          </w:p>
        </w:tc>
        <w:tc>
          <w:tcPr>
            <w:tcW w:w="5750" w:type="dxa"/>
            <w:vAlign w:val="center"/>
          </w:tcPr>
          <w:p w14:paraId="1F64094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Wykład</w:t>
            </w:r>
          </w:p>
        </w:tc>
        <w:tc>
          <w:tcPr>
            <w:tcW w:w="1066" w:type="dxa"/>
            <w:vAlign w:val="center"/>
          </w:tcPr>
          <w:p w14:paraId="5BC5864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88B81D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00AF89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FEF9A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5FAFB6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13FB9D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013D1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91A4B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683ED7" w14:textId="4881C642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BA35A6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4C8363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FD45A5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09A545D" w14:textId="359FA4A0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57CC8A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4D096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3378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E9AD8D3" w14:textId="3D930B7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6897C74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F29A84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2857F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2C3B231" w14:textId="241FE7E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948C73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C417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AC3926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D36EA7" w14:textId="4BD190D4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208512C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80FA5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B449140" w14:textId="6EAE0DFA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673A7B6E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C2E1D8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030B272" w14:textId="265B162D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99E17C2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82756" w14:textId="77777777" w:rsidR="00B26A45" w:rsidRDefault="00B26A45">
      <w:r>
        <w:separator/>
      </w:r>
    </w:p>
  </w:endnote>
  <w:endnote w:type="continuationSeparator" w:id="0">
    <w:p w14:paraId="77CD031F" w14:textId="77777777" w:rsidR="00B26A45" w:rsidRDefault="00B26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75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6582F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3E1D62C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01886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2719C" w14:textId="77777777" w:rsidR="00B26A45" w:rsidRDefault="00B26A45">
      <w:r>
        <w:separator/>
      </w:r>
    </w:p>
  </w:footnote>
  <w:footnote w:type="continuationSeparator" w:id="0">
    <w:p w14:paraId="5C935F6D" w14:textId="77777777" w:rsidR="00B26A45" w:rsidRDefault="00B26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4D23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2A4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887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4776E"/>
    <w:rsid w:val="00A8544F"/>
    <w:rsid w:val="00B26A45"/>
    <w:rsid w:val="00C406F2"/>
    <w:rsid w:val="00D32FBE"/>
    <w:rsid w:val="00DB3679"/>
    <w:rsid w:val="00DE2A4C"/>
    <w:rsid w:val="00E1778B"/>
    <w:rsid w:val="00F4095F"/>
    <w:rsid w:val="00F9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D59C9"/>
  <w15:chartTrackingRefBased/>
  <w15:docId w15:val="{92507669-776F-497A-9AD6-9CD56DE7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F94468"/>
    <w:rPr>
      <w:color w:val="000000"/>
      <w:lang w:val="en-US" w:eastAsia="hi-IN" w:bidi="hi-IN"/>
    </w:rPr>
  </w:style>
  <w:style w:type="character" w:styleId="Hipercze">
    <w:name w:val="Hyperlink"/>
    <w:semiHidden/>
    <w:unhideWhenUsed/>
    <w:rsid w:val="00A4776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ryla.p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dezeen.com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81AC60-76E6-427B-8955-03C0B07602D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974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2022-02-09T01:34:00Z</dcterms:created>
  <dcterms:modified xsi:type="dcterms:W3CDTF">2022-02-09T01:34:00Z</dcterms:modified>
</cp:coreProperties>
</file>