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B4FDA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63234E36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5C7C5CA9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29FBA094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354C17CC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339B245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1778CDA5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3C034E3E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1075FED9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19BE7E63" w14:textId="7CE5EB43" w:rsidR="00303F50" w:rsidRDefault="00B3368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Filozofia z elementami estetyki</w:t>
            </w:r>
          </w:p>
        </w:tc>
      </w:tr>
      <w:tr w:rsidR="00303F50" w14:paraId="29AC0D91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65DD75CA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7BFCBB58" w14:textId="51F909A4" w:rsidR="00303F50" w:rsidRDefault="00B3368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US"/>
              </w:rPr>
              <w:t>Philosophy and aesthetics</w:t>
            </w:r>
          </w:p>
        </w:tc>
      </w:tr>
    </w:tbl>
    <w:p w14:paraId="48912B0C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3EA1B5BA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042D4E1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591A97CF" w14:textId="30C41D7B" w:rsidR="00827D3B" w:rsidRDefault="00B3368D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Łukasz Białkowski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6C3EC1E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561749A4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5CC56F5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1D4C72F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18E2F680" w14:textId="5F0BF8FD" w:rsidR="00827D3B" w:rsidRDefault="00B3368D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Katedra Teorii Sztuki i Edukacji Artystycznej</w:t>
            </w:r>
          </w:p>
        </w:tc>
      </w:tr>
      <w:tr w:rsidR="00827D3B" w14:paraId="0759A667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670FAC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752B60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B1F35A4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7B5EBCA4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15517E6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726A3B95" w14:textId="07EF7848" w:rsidR="00827D3B" w:rsidRDefault="00B3368D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07CB5F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77EB04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F7FFA02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0BA6D474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1A3122A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A0C646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8755CB2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4972143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6B5D33D3" w14:textId="77777777">
        <w:trPr>
          <w:trHeight w:val="1365"/>
        </w:trPr>
        <w:tc>
          <w:tcPr>
            <w:tcW w:w="9640" w:type="dxa"/>
          </w:tcPr>
          <w:p w14:paraId="36A64CA0" w14:textId="77777777" w:rsidR="00303F50" w:rsidRDefault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 definiuje pojęcia kultura, filozofia, estetyka, twórczość, sztuka, artysta, wytwór, dzieło sztuki, percepcja, zna podstawowe kategorie estetyczne (piękno, wzniosłość, malowniczość, mimesis, intensywność doznania) klasyfikacje dziedzin sztuki, konwencje przedstawieniowe i stylistyczne (klasycyzm, realizm, naturalizm, abstrakcja). Rozróżnia i wyjaśnia podstawowe szkoły i doktryny estetyczne, w szczególności poglądy Platona, Arystotelesa, św. Tomasza z Akwinu, Kanta, Baumgartena, fenomenologów, hermeneutów, Heideggera oraz postmodernistów. Tłumaczy pojęcia syntezy sztuk, zwrotu językowego i wizualnego.</w:t>
            </w:r>
          </w:p>
          <w:p w14:paraId="387E966A" w14:textId="24D6560A" w:rsidR="009E70EE" w:rsidRDefault="009E70EE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Wykłady prowadzone w formie stacjonarnej lub zdalnej.</w:t>
            </w:r>
          </w:p>
        </w:tc>
      </w:tr>
    </w:tbl>
    <w:p w14:paraId="719A254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194155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90385A4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472AD90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14D99DA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51D452A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5972E512" w14:textId="068BCF3A" w:rsidR="00303F50" w:rsidRDefault="00B3368D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Znajomość historii kultury, sztuki i filozofii na poziomie licencjatu studiów humanistycznych</w:t>
            </w:r>
          </w:p>
          <w:p w14:paraId="27CAC3AD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8C1790C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B3368D" w14:paraId="5AB263B1" w14:textId="77777777" w:rsidTr="00CC437C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39140787" w14:textId="77777777" w:rsidR="00B3368D" w:rsidRDefault="00B3368D" w:rsidP="00B3368D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</w:tcPr>
          <w:p w14:paraId="319C77F3" w14:textId="3F06CDB8" w:rsidR="00B3368D" w:rsidRDefault="00B3368D" w:rsidP="00B3368D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Rozpoznawanie podstawowych toposów kulturowych, epok historycznych i stylów oraz związanych z nimi idei i szkół filozoficznych</w:t>
            </w:r>
          </w:p>
        </w:tc>
      </w:tr>
      <w:tr w:rsidR="00B3368D" w14:paraId="45FF3F23" w14:textId="77777777">
        <w:tc>
          <w:tcPr>
            <w:tcW w:w="1941" w:type="dxa"/>
            <w:shd w:val="clear" w:color="auto" w:fill="DBE5F1"/>
            <w:vAlign w:val="center"/>
          </w:tcPr>
          <w:p w14:paraId="08A762E8" w14:textId="77777777" w:rsidR="00B3368D" w:rsidRDefault="00B3368D" w:rsidP="00B3368D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188A1D73" w14:textId="370599BC" w:rsidR="00B3368D" w:rsidRDefault="00B3368D" w:rsidP="00B3368D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brak</w:t>
            </w:r>
          </w:p>
          <w:p w14:paraId="05987CFA" w14:textId="77777777" w:rsidR="00B3368D" w:rsidRDefault="00B3368D" w:rsidP="00B3368D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C260405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97519A6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C65A315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122E5C29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7924A5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23BB7D6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80875B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798D9AD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DE3A6C6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181ED7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07FF209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774E3CA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A538FC7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22BFB0F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66942147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2EF4CE3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00990A8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0A36778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77B5B93B" w14:textId="77777777">
        <w:trPr>
          <w:cantSplit/>
          <w:trHeight w:val="1838"/>
        </w:trPr>
        <w:tc>
          <w:tcPr>
            <w:tcW w:w="1979" w:type="dxa"/>
            <w:vMerge/>
          </w:tcPr>
          <w:p w14:paraId="5BCD7EB7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7583136F" w14:textId="0389DB47" w:rsidR="00303F50" w:rsidRDefault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 Student ma podstawową wiedzę o miejscu i znaczeniu estetyki w systemie nauk oraz jej specyfice przedmiotowej i metodologicznej.</w:t>
            </w:r>
          </w:p>
          <w:p w14:paraId="408D8B2D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E83D67" w14:textId="77777777" w:rsidR="00303F50" w:rsidRDefault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 Student zna podstawową terminologię dotyczącą estetyki i teorii sztuki.</w:t>
            </w:r>
          </w:p>
          <w:p w14:paraId="150A515E" w14:textId="77777777" w:rsidR="00B3368D" w:rsidRDefault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AA1B1D" w14:textId="77777777" w:rsidR="00B3368D" w:rsidRDefault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A4CEBD" w14:textId="77777777" w:rsidR="00B3368D" w:rsidRDefault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 Student ma uporządkowaną wiedzę ogólną, obejmującą terminologię, teorie i metodologię z zakresu filozofii, estetyki i teorii sztuki.</w:t>
            </w:r>
          </w:p>
          <w:p w14:paraId="0F101A90" w14:textId="77777777" w:rsidR="00B3368D" w:rsidRDefault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C8577E" w14:textId="77777777" w:rsidR="00B3368D" w:rsidRDefault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210EF3" w14:textId="0EFE013B" w:rsidR="00B3368D" w:rsidRDefault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 Student ma podstawową wiedzę o powiązaniach dziedzin nauki i dyscyplin naukowych, właściwych dla estetyki z innymi dziedzinami nauki i dyscyplinami naukowymi.</w:t>
            </w:r>
          </w:p>
        </w:tc>
        <w:tc>
          <w:tcPr>
            <w:tcW w:w="2365" w:type="dxa"/>
          </w:tcPr>
          <w:p w14:paraId="753468E8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</w:t>
            </w:r>
          </w:p>
          <w:p w14:paraId="76A97F25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K_W02</w:t>
            </w:r>
          </w:p>
          <w:p w14:paraId="79E83228" w14:textId="77777777" w:rsidR="00303F50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K_W04</w:t>
            </w:r>
          </w:p>
          <w:p w14:paraId="35895FA2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26991F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</w:t>
            </w:r>
          </w:p>
          <w:p w14:paraId="4DCD4135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K_W02</w:t>
            </w:r>
          </w:p>
          <w:p w14:paraId="586587EB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K_W04</w:t>
            </w:r>
          </w:p>
          <w:p w14:paraId="33B53251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5814C2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</w:t>
            </w:r>
          </w:p>
          <w:p w14:paraId="53212D51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K_W02</w:t>
            </w:r>
          </w:p>
          <w:p w14:paraId="0DD2A471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K_W04</w:t>
            </w:r>
          </w:p>
          <w:p w14:paraId="1362167D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D341C9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8F9557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</w:t>
            </w:r>
          </w:p>
          <w:p w14:paraId="7060CB7F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K_W02</w:t>
            </w:r>
          </w:p>
          <w:p w14:paraId="117CB197" w14:textId="4C6BBD60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K_W04</w:t>
            </w:r>
          </w:p>
        </w:tc>
      </w:tr>
    </w:tbl>
    <w:p w14:paraId="1190024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CB4ECC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24A2256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3ED9AD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6D5900B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0A7C6C0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5798A21" w14:textId="77777777">
        <w:trPr>
          <w:cantSplit/>
          <w:trHeight w:val="2116"/>
        </w:trPr>
        <w:tc>
          <w:tcPr>
            <w:tcW w:w="1985" w:type="dxa"/>
            <w:vMerge/>
          </w:tcPr>
          <w:p w14:paraId="5114217F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C55E054" w14:textId="72D00A13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  <w:r w:rsidR="00B3368D">
              <w:rPr>
                <w:rFonts w:ascii="Arial" w:hAnsi="Arial" w:cs="Arial"/>
                <w:sz w:val="20"/>
                <w:szCs w:val="20"/>
              </w:rPr>
              <w:t xml:space="preserve"> Student potrafi wyszukiwać, analizować, oceniać, selekcjonować i użytkować informację z wykorzystaniem różnych źródeł i sposobów.</w:t>
            </w:r>
          </w:p>
          <w:p w14:paraId="61AD28B3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A2D2F1" w14:textId="77777777" w:rsidR="00B3368D" w:rsidRDefault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17AD08" w14:textId="77777777" w:rsidR="00B3368D" w:rsidRDefault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 Student posiada podstawowe umiejętności badawcze, obejmujące formułowanie i analizę problemów badawczych, dobór metod i narzędzi badawczych, opracowanie i prezentację wyników, pozwalające na rozwiązywanie problemów w zakresie estetyki i teorii sztuki.</w:t>
            </w:r>
          </w:p>
          <w:p w14:paraId="678702A1" w14:textId="77777777" w:rsidR="00B3368D" w:rsidRDefault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26BDC2" w14:textId="77777777" w:rsidR="00B3368D" w:rsidRDefault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8BAC2A" w14:textId="1D425BE7" w:rsidR="00B3368D" w:rsidRDefault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 Student umie samodzielnie zdobywać wiedzę i rozwijać umiejętności badawcze, kierując się wskazówkami opiekuna naukowego.</w:t>
            </w:r>
          </w:p>
        </w:tc>
        <w:tc>
          <w:tcPr>
            <w:tcW w:w="2410" w:type="dxa"/>
          </w:tcPr>
          <w:p w14:paraId="180FD413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14:paraId="229D8799" w14:textId="19581283" w:rsidR="00303F50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K_U04</w:t>
            </w:r>
          </w:p>
          <w:p w14:paraId="62CAF2B3" w14:textId="1ECD95F8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FF15DF" w14:textId="07F6F07F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74DB81" w14:textId="4915B383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9485A6" w14:textId="3CD82213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753077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14:paraId="4A9FF48A" w14:textId="2BD1395F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K_U04</w:t>
            </w:r>
          </w:p>
          <w:p w14:paraId="768532FF" w14:textId="77777777" w:rsidR="00B3368D" w:rsidRP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3398ED" w14:textId="77777777" w:rsidR="00B3368D" w:rsidRP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DD57C0" w14:textId="3D94DE64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2488E9" w14:textId="7BA5104F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6F9359" w14:textId="01747F7F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E404FA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14:paraId="6D4BED85" w14:textId="0A9F9B01" w:rsidR="00B3368D" w:rsidRP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K_U04</w:t>
            </w:r>
          </w:p>
          <w:p w14:paraId="6A58A331" w14:textId="62F8EF2A" w:rsidR="00B3368D" w:rsidRP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B5137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7B7AEC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E9401BC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CB8717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AE4DD8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13904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18E9BAB" w14:textId="77777777">
        <w:trPr>
          <w:cantSplit/>
          <w:trHeight w:val="1984"/>
        </w:trPr>
        <w:tc>
          <w:tcPr>
            <w:tcW w:w="1985" w:type="dxa"/>
            <w:vMerge/>
          </w:tcPr>
          <w:p w14:paraId="3F137DBC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9CB79A0" w14:textId="7CCAC8A1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  <w:r w:rsidR="00B3368D">
              <w:rPr>
                <w:rFonts w:ascii="Arial" w:hAnsi="Arial" w:cs="Arial"/>
                <w:sz w:val="20"/>
                <w:szCs w:val="20"/>
              </w:rPr>
              <w:t xml:space="preserve"> Student rozumie potrzebę uczenia się przez całe życie.</w:t>
            </w:r>
          </w:p>
          <w:p w14:paraId="7DE2D8B7" w14:textId="681123F8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9DC21F" w14:textId="77777777" w:rsidR="0088157F" w:rsidRDefault="008815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FD7498" w14:textId="77777777" w:rsidR="00B3368D" w:rsidRDefault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05D148" w14:textId="4D73866F" w:rsidR="00B3368D" w:rsidRDefault="008815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 Student potrafi współdziałać i pracować w grupie, przyjmując w niej różne role.</w:t>
            </w:r>
          </w:p>
        </w:tc>
        <w:tc>
          <w:tcPr>
            <w:tcW w:w="2410" w:type="dxa"/>
          </w:tcPr>
          <w:p w14:paraId="708F73B9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K_K01</w:t>
            </w:r>
          </w:p>
          <w:p w14:paraId="4A576F53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K_K03</w:t>
            </w:r>
          </w:p>
          <w:p w14:paraId="1756AB61" w14:textId="77777777" w:rsidR="00B3368D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K_K05</w:t>
            </w:r>
          </w:p>
          <w:p w14:paraId="56677B2E" w14:textId="77777777" w:rsidR="00303F50" w:rsidRDefault="00B3368D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K_K06</w:t>
            </w:r>
          </w:p>
          <w:p w14:paraId="618DAC06" w14:textId="77777777" w:rsidR="0088157F" w:rsidRDefault="0088157F" w:rsidP="00B336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3A8F0D" w14:textId="0CBDA272" w:rsidR="0088157F" w:rsidRDefault="0088157F" w:rsidP="00B336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K_K07</w:t>
            </w:r>
          </w:p>
        </w:tc>
      </w:tr>
    </w:tbl>
    <w:p w14:paraId="36F6E6E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90631B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DAD4F7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48F60410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CE1485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7A1E5C36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2106BA2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1A20F41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7D40E2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3D778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015D5D6A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79C4875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0388FB0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13476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33A84BE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5A73FFC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2F287DF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3F752C3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0D2D4E3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E1F25F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2C01651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C8F880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961831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CEF562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4C8407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CAC5C35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5D5529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3CF7090" w14:textId="090C5CB6" w:rsidR="00303F50" w:rsidRDefault="0088157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1DF86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CED10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9358B9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639642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2C49B9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B90CA4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1E413535" w14:textId="77777777">
        <w:trPr>
          <w:trHeight w:val="462"/>
        </w:trPr>
        <w:tc>
          <w:tcPr>
            <w:tcW w:w="1611" w:type="dxa"/>
            <w:vAlign w:val="center"/>
          </w:tcPr>
          <w:p w14:paraId="2B5A3E5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401738D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ECA61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AD72B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3178C1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965F02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6BAB89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447B6E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6A2F1F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428938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3B067E0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318DE14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C1690E1" w14:textId="77777777">
        <w:trPr>
          <w:trHeight w:val="1920"/>
        </w:trPr>
        <w:tc>
          <w:tcPr>
            <w:tcW w:w="9622" w:type="dxa"/>
          </w:tcPr>
          <w:p w14:paraId="2B093A84" w14:textId="61237AD5" w:rsidR="00303F50" w:rsidRDefault="0088157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 ilustrowany prezentacjami w programie PowerPoint, fragmentami filmów, cytatami z literatury. Materiał zorganizowany jest zgodnie z dyskursem dedukcyjnym, problemowym. Zakłada zadawanie pytań studentom i elementy dyskusji. Stanowi wstęp do zajęć konwersatoryjnych, podczas których studenci próbują także dokonywać atrybucji dzieł oraz ich hermeneutycznej interpretacji.</w:t>
            </w:r>
          </w:p>
        </w:tc>
      </w:tr>
    </w:tbl>
    <w:p w14:paraId="28C0C0A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5ACD53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27C581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074BBA7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185AFB81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F3DB18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CD0BF1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F3FCBF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D80B13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D1CBB1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2424F4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4E81C2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78DCBD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5D169E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1DD9376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312F853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716998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90C7DE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F46C0B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2F1EC68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56F35FD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4677189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F7C92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ECA4A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75591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E7604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667C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CFD1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B1220F" w14:textId="473EBABD" w:rsidR="00303F50" w:rsidRDefault="0088157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07458D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A80FD3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7EB09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48B4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403AD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4CE482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AB373F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6174069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2ED75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079BF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F8170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97FA0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6099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E974E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36D17B" w14:textId="77962C1D" w:rsidR="00303F50" w:rsidRDefault="0088157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B0F4D6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51A1E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07340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639B8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53541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6E67434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8B2F0CA" w14:textId="77777777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53CC291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50F134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424B4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4ED882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D4B47D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1D0144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C67E79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EEA998" w14:textId="60B190C3" w:rsidR="007F20B6" w:rsidRDefault="0088157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0ED0A8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0BAB75C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19331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C9DE0F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58C41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88157F" w14:paraId="7A94543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DF04625" w14:textId="383552A8" w:rsidR="0088157F" w:rsidRDefault="008815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35BFED35" w14:textId="77777777" w:rsidR="0088157F" w:rsidRDefault="0088157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FBD629" w14:textId="77777777" w:rsidR="0088157F" w:rsidRDefault="0088157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539672" w14:textId="77777777" w:rsidR="0088157F" w:rsidRDefault="0088157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BF6C0E" w14:textId="77777777" w:rsidR="0088157F" w:rsidRDefault="0088157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A12A5A" w14:textId="77777777" w:rsidR="0088157F" w:rsidRDefault="0088157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E2B3A9" w14:textId="77777777" w:rsidR="0088157F" w:rsidRDefault="0088157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1322B4" w14:textId="77777777" w:rsidR="0088157F" w:rsidRDefault="0088157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2711BC" w14:textId="4180C598" w:rsidR="0088157F" w:rsidRDefault="0088157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8E01191" w14:textId="77777777" w:rsidR="0088157F" w:rsidRDefault="0088157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70ED152" w14:textId="77777777" w:rsidR="0088157F" w:rsidRDefault="0088157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813B57" w14:textId="77777777" w:rsidR="0088157F" w:rsidRDefault="0088157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CE3886" w14:textId="77777777" w:rsidR="0088157F" w:rsidRDefault="0088157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5B1DD6" w14:textId="77777777" w:rsidR="0088157F" w:rsidRDefault="0088157F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F60CCCE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A8CD8F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586CD51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37F79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22886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D8308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CBC6E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9B380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C06A4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B95565" w14:textId="4855A910" w:rsidR="00303F50" w:rsidRDefault="0088157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D0DE16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88DF5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0A66F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1D19E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A7681D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9743BA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F9DECA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88C993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DE7EA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AE15A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807B1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FFAEC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E1A8D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172D0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28299B" w14:textId="3A00030F" w:rsidR="00303F50" w:rsidRDefault="0088157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4D1100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35FB1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17625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25573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8E98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7A71B74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B213792" w14:textId="77777777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145D992F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CA5BF1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360B6A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60935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011C10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9E7923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9A200F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CCD277" w14:textId="6CC9703D" w:rsidR="007F20B6" w:rsidRDefault="0088157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5B2F22D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D01851C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5C5811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AB564C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1A7E73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0078AF6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790ECC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0DD905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A2E34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F670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4646C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14F75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6171F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5CE5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D9929C" w14:textId="25313DD4" w:rsidR="00303F50" w:rsidRDefault="0088157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BDA3D9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E7AB32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3800C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83178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298CB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63C424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C6AFAB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4F207E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931D9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2E3EC4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EC03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5ECA4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81D37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9A4A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245662" w14:textId="7A703505" w:rsidR="00303F50" w:rsidRDefault="0088157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612E41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DC41A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3573B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A4802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D5481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130EE48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D61A5E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6262B6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A8D5C3A" w14:textId="77777777">
        <w:tc>
          <w:tcPr>
            <w:tcW w:w="1941" w:type="dxa"/>
            <w:shd w:val="clear" w:color="auto" w:fill="DBE5F1"/>
            <w:vAlign w:val="center"/>
          </w:tcPr>
          <w:p w14:paraId="615B761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0CCD42BF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39864153" w14:textId="4E283B75" w:rsidR="00303F50" w:rsidRDefault="0088157F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Obecność na zajęciach.</w:t>
            </w:r>
          </w:p>
          <w:p w14:paraId="6E84DFDF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C1824C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5474B3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F5850B2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7B1E73C5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5A4C3C22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39ABD006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A1C805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73CAD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F388585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6667381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ECAAA20" w14:textId="77777777">
        <w:trPr>
          <w:trHeight w:val="1136"/>
        </w:trPr>
        <w:tc>
          <w:tcPr>
            <w:tcW w:w="9622" w:type="dxa"/>
          </w:tcPr>
          <w:tbl>
            <w:tblPr>
              <w:tblW w:w="9423" w:type="dxa"/>
              <w:tblLook w:val="00A0" w:firstRow="1" w:lastRow="0" w:firstColumn="1" w:lastColumn="0" w:noHBand="0" w:noVBand="0"/>
            </w:tblPr>
            <w:tblGrid>
              <w:gridCol w:w="9423"/>
            </w:tblGrid>
            <w:tr w:rsidR="0088157F" w14:paraId="4C894D33" w14:textId="77777777" w:rsidTr="0082057F">
              <w:trPr>
                <w:trHeight w:val="418"/>
              </w:trPr>
              <w:tc>
                <w:tcPr>
                  <w:tcW w:w="9423" w:type="dxa"/>
                </w:tcPr>
                <w:p w14:paraId="65FD96A6" w14:textId="77777777" w:rsidR="0088157F" w:rsidRDefault="0088157F" w:rsidP="0088157F">
                  <w:pPr>
                    <w:pStyle w:val="NormalnyWeb"/>
                    <w:numPr>
                      <w:ilvl w:val="0"/>
                      <w:numId w:val="5"/>
                    </w:numPr>
                    <w:spacing w:before="120" w:beforeAutospacing="0" w:after="0" w:afterAutospacing="0"/>
                    <w:ind w:left="357" w:hanging="357"/>
                    <w:rPr>
                      <w:rFonts w:ascii="Arial" w:hAnsi="Arial" w:cs="Arial"/>
                      <w:noProof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 xml:space="preserve">Sztuka i piękno. „Wielka Teoria” i jej kryzys. Kategorie: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wzniosłość , malowniczość, intensywność doznania, immersyjność, totalność, synteza wirtualnego z rzeczywistym, interaktywność. Sztuka i prawda. Dzieło sztuki jako „bycie”. Zagadnienie „bezinteresowności”. Sztuka i wolność: decorum, metafizyka, „permissiveness”.</w:t>
                  </w:r>
                </w:p>
              </w:tc>
            </w:tr>
            <w:tr w:rsidR="0088157F" w14:paraId="63EA2E33" w14:textId="77777777" w:rsidTr="0082057F">
              <w:tc>
                <w:tcPr>
                  <w:tcW w:w="9423" w:type="dxa"/>
                </w:tcPr>
                <w:p w14:paraId="4A6370C6" w14:textId="77777777" w:rsidR="0088157F" w:rsidRDefault="0088157F" w:rsidP="0088157F">
                  <w:pPr>
                    <w:numPr>
                      <w:ilvl w:val="0"/>
                      <w:numId w:val="5"/>
                    </w:numPr>
                    <w:ind w:left="357" w:hanging="35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Antysztuka, rewolucja, transgresja. Dadaizm, surrealizm, sytuacjonizm, akcjoniści wiedeńscy. Brulion.</w:t>
                  </w:r>
                </w:p>
              </w:tc>
            </w:tr>
            <w:tr w:rsidR="0088157F" w14:paraId="279E6E98" w14:textId="77777777" w:rsidTr="0082057F">
              <w:tc>
                <w:tcPr>
                  <w:tcW w:w="9423" w:type="dxa"/>
                </w:tcPr>
                <w:p w14:paraId="29FB454D" w14:textId="77777777" w:rsidR="0088157F" w:rsidRDefault="0088157F" w:rsidP="0088157F">
                  <w:pPr>
                    <w:numPr>
                      <w:ilvl w:val="0"/>
                      <w:numId w:val="5"/>
                    </w:numPr>
                    <w:ind w:left="357" w:hanging="35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Postmodernizm, „śmierć autora”, „koniec sztuki” na przełomie XX i XXI wieku (Barthes, Foucault, Danto).</w:t>
                  </w:r>
                </w:p>
              </w:tc>
            </w:tr>
            <w:tr w:rsidR="0088157F" w14:paraId="63D77F42" w14:textId="77777777" w:rsidTr="0082057F">
              <w:tc>
                <w:tcPr>
                  <w:tcW w:w="9423" w:type="dxa"/>
                </w:tcPr>
                <w:p w14:paraId="04058BF9" w14:textId="77777777" w:rsidR="0088157F" w:rsidRDefault="0088157F" w:rsidP="0088157F">
                  <w:pPr>
                    <w:pStyle w:val="NormalnyWeb"/>
                    <w:numPr>
                      <w:ilvl w:val="0"/>
                      <w:numId w:val="5"/>
                    </w:numPr>
                    <w:spacing w:before="0" w:beforeAutospacing="0" w:after="0" w:afterAutospacing="0"/>
                    <w:ind w:left="357" w:hanging="357"/>
                    <w:rPr>
                      <w:rFonts w:ascii="Arial" w:hAnsi="Arial" w:cs="Arial"/>
                      <w:noProof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Trwanie klasycznego w sztukach wizualnych. </w:t>
                  </w:r>
                  <w:r w:rsidRPr="00F733C6">
                    <w:rPr>
                      <w:rFonts w:ascii="Arial" w:hAnsi="Arial" w:cs="Arial"/>
                      <w:sz w:val="20"/>
                      <w:szCs w:val="20"/>
                    </w:rPr>
                    <w:t xml:space="preserve">Edward Tylor i „survivals”.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Odrodzenia klasycznego. Surrealizm i Nowy klasycyzm. „Nowi dawni mistrzowie”. </w:t>
                  </w:r>
                  <w:r w:rsidRPr="00F733C6">
                    <w:rPr>
                      <w:rFonts w:ascii="Arial" w:hAnsi="Arial" w:cs="Arial"/>
                      <w:sz w:val="20"/>
                      <w:szCs w:val="20"/>
                    </w:rPr>
                    <w:t xml:space="preserve">Zbigniew Herbert i wizualia. Tylor i George Huberman.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Trwanie klasycznego i powrót realnego. Donald Kuspit i Hal Foster.</w:t>
                  </w:r>
                </w:p>
              </w:tc>
            </w:tr>
            <w:tr w:rsidR="0088157F" w14:paraId="158B88E3" w14:textId="77777777" w:rsidTr="0082057F">
              <w:tc>
                <w:tcPr>
                  <w:tcW w:w="9423" w:type="dxa"/>
                </w:tcPr>
                <w:p w14:paraId="5D3A02D5" w14:textId="77777777" w:rsidR="0088157F" w:rsidRDefault="0088157F" w:rsidP="0088157F">
                  <w:pPr>
                    <w:numPr>
                      <w:ilvl w:val="0"/>
                      <w:numId w:val="5"/>
                    </w:numPr>
                    <w:ind w:left="357" w:hanging="35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Synteza sztuk i klasyfikacje (Platon, Kant, Lessing). Pragrecki synkretyzm kulturowy (Nietzsche i Heidegger), </w:t>
                  </w:r>
                  <w:r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  <w:t>ut pictura poesis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, synestezja, </w:t>
                  </w:r>
                  <w:r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  <w:t>Gesamtkunstwerk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, Wielka Reforma Teatru i rola reżysera, fuzja intermedialna i „wspólny horyzont”, zagadnienie percepcji, sztuki plastyczne a wizualia.</w:t>
                  </w:r>
                </w:p>
              </w:tc>
            </w:tr>
            <w:tr w:rsidR="0088157F" w14:paraId="518B23BD" w14:textId="77777777" w:rsidTr="0082057F">
              <w:tc>
                <w:tcPr>
                  <w:tcW w:w="9423" w:type="dxa"/>
                </w:tcPr>
                <w:p w14:paraId="250F2856" w14:textId="77777777" w:rsidR="0088157F" w:rsidRDefault="0088157F" w:rsidP="0088157F">
                  <w:pPr>
                    <w:numPr>
                      <w:ilvl w:val="0"/>
                      <w:numId w:val="5"/>
                    </w:numPr>
                    <w:ind w:left="357" w:hanging="35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Idea „s</w:t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 xml:space="preserve">yntezy sztuk”,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synkretyzmu, zniesienia granicy między sztuką a życiem codziennym jako utopie „wolnościowe”. Od Shellinga do Marquarda.</w:t>
                  </w:r>
                </w:p>
              </w:tc>
            </w:tr>
            <w:tr w:rsidR="0088157F" w14:paraId="71733A04" w14:textId="77777777" w:rsidTr="0082057F">
              <w:tc>
                <w:tcPr>
                  <w:tcW w:w="9423" w:type="dxa"/>
                </w:tcPr>
                <w:p w14:paraId="61E6E1D9" w14:textId="77777777" w:rsidR="0088157F" w:rsidRDefault="0088157F" w:rsidP="0088157F">
                  <w:pPr>
                    <w:numPr>
                      <w:ilvl w:val="0"/>
                      <w:numId w:val="5"/>
                    </w:numPr>
                    <w:ind w:left="357" w:hanging="35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Joseph Beuys.</w:t>
                  </w:r>
                </w:p>
              </w:tc>
            </w:tr>
            <w:tr w:rsidR="0088157F" w14:paraId="5B5CC8B6" w14:textId="77777777" w:rsidTr="0082057F">
              <w:tc>
                <w:tcPr>
                  <w:tcW w:w="9423" w:type="dxa"/>
                </w:tcPr>
                <w:p w14:paraId="6C8592C7" w14:textId="77777777" w:rsidR="0088157F" w:rsidRDefault="0088157F" w:rsidP="0088157F">
                  <w:pPr>
                    <w:numPr>
                      <w:ilvl w:val="0"/>
                      <w:numId w:val="5"/>
                    </w:numPr>
                    <w:ind w:left="357" w:hanging="35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Awangarda I i II. Subkultury i imperatyw wolności.</w:t>
                  </w:r>
                </w:p>
              </w:tc>
            </w:tr>
            <w:tr w:rsidR="0088157F" w14:paraId="65AE1C53" w14:textId="77777777" w:rsidTr="0082057F">
              <w:tc>
                <w:tcPr>
                  <w:tcW w:w="9423" w:type="dxa"/>
                </w:tcPr>
                <w:p w14:paraId="118CE807" w14:textId="77777777" w:rsidR="0088157F" w:rsidRDefault="0088157F" w:rsidP="0088157F">
                  <w:pPr>
                    <w:pStyle w:val="NormalnyWeb"/>
                    <w:numPr>
                      <w:ilvl w:val="0"/>
                      <w:numId w:val="5"/>
                    </w:numPr>
                    <w:spacing w:before="0" w:beforeAutospacing="0" w:after="0" w:afterAutospacing="0"/>
                    <w:ind w:left="357" w:hanging="357"/>
                    <w:rPr>
                      <w:rFonts w:ascii="Arial" w:hAnsi="Arial" w:cs="Arial"/>
                      <w:noProof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Szkoła Frankfurcka i sztuka krytyczna.</w:t>
                  </w:r>
                </w:p>
              </w:tc>
            </w:tr>
            <w:tr w:rsidR="0088157F" w14:paraId="78A9A22B" w14:textId="77777777" w:rsidTr="0082057F">
              <w:tc>
                <w:tcPr>
                  <w:tcW w:w="9423" w:type="dxa"/>
                </w:tcPr>
                <w:p w14:paraId="63817670" w14:textId="77777777" w:rsidR="0088157F" w:rsidRDefault="0088157F" w:rsidP="0088157F">
                  <w:pPr>
                    <w:numPr>
                      <w:ilvl w:val="0"/>
                      <w:numId w:val="5"/>
                    </w:numPr>
                    <w:ind w:left="357" w:hanging="35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Problem tożsamości w sztuce współczesnej: tożsamość dzieła.</w:t>
                  </w:r>
                </w:p>
              </w:tc>
            </w:tr>
            <w:tr w:rsidR="0088157F" w14:paraId="2806DADB" w14:textId="77777777" w:rsidTr="0082057F">
              <w:tc>
                <w:tcPr>
                  <w:tcW w:w="9423" w:type="dxa"/>
                </w:tcPr>
                <w:p w14:paraId="1EBF32A6" w14:textId="77777777" w:rsidR="0088157F" w:rsidRDefault="0088157F" w:rsidP="0088157F">
                  <w:pPr>
                    <w:pStyle w:val="NormalnyWeb"/>
                    <w:numPr>
                      <w:ilvl w:val="0"/>
                      <w:numId w:val="5"/>
                    </w:numPr>
                    <w:spacing w:before="0" w:beforeAutospacing="0" w:after="0" w:afterAutospacing="0"/>
                    <w:ind w:left="357" w:hanging="357"/>
                    <w:rPr>
                      <w:rFonts w:ascii="Arial" w:hAnsi="Arial" w:cs="Arial"/>
                      <w:noProof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Dziedzictwo biologiczne i kulturowe a tożsamość w sztuce na przełomie XX i XXI wieku.</w:t>
                  </w:r>
                </w:p>
              </w:tc>
            </w:tr>
            <w:tr w:rsidR="0088157F" w14:paraId="602CB47B" w14:textId="77777777" w:rsidTr="0082057F">
              <w:tc>
                <w:tcPr>
                  <w:tcW w:w="9423" w:type="dxa"/>
                </w:tcPr>
                <w:p w14:paraId="2A06C127" w14:textId="77777777" w:rsidR="0088157F" w:rsidRDefault="0088157F" w:rsidP="0088157F">
                  <w:pPr>
                    <w:numPr>
                      <w:ilvl w:val="0"/>
                      <w:numId w:val="5"/>
                    </w:numPr>
                    <w:ind w:left="357" w:hanging="35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Historia sztuki i teoria zwrotów.</w:t>
                  </w:r>
                </w:p>
              </w:tc>
            </w:tr>
            <w:tr w:rsidR="0088157F" w14:paraId="6CF72226" w14:textId="77777777" w:rsidTr="0082057F">
              <w:tc>
                <w:tcPr>
                  <w:tcW w:w="9423" w:type="dxa"/>
                </w:tcPr>
                <w:p w14:paraId="2E14BF2E" w14:textId="77777777" w:rsidR="0088157F" w:rsidRDefault="0088157F" w:rsidP="0088157F">
                  <w:pPr>
                    <w:numPr>
                      <w:ilvl w:val="0"/>
                      <w:numId w:val="5"/>
                    </w:numPr>
                    <w:ind w:left="357" w:hanging="35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Fenomenologia i hermeneutyka.</w:t>
                  </w:r>
                </w:p>
              </w:tc>
            </w:tr>
            <w:tr w:rsidR="0088157F" w14:paraId="13094CDC" w14:textId="77777777" w:rsidTr="0082057F">
              <w:tc>
                <w:tcPr>
                  <w:tcW w:w="9423" w:type="dxa"/>
                </w:tcPr>
                <w:p w14:paraId="5FE5EEDC" w14:textId="77777777" w:rsidR="0088157F" w:rsidRDefault="0088157F" w:rsidP="0088157F">
                  <w:pPr>
                    <w:numPr>
                      <w:ilvl w:val="0"/>
                      <w:numId w:val="5"/>
                    </w:numPr>
                    <w:ind w:left="357" w:hanging="35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Zwrot lingwistyczny.</w:t>
                  </w:r>
                </w:p>
              </w:tc>
            </w:tr>
            <w:tr w:rsidR="0088157F" w14:paraId="4649FC8B" w14:textId="77777777" w:rsidTr="0082057F">
              <w:tc>
                <w:tcPr>
                  <w:tcW w:w="9423" w:type="dxa"/>
                </w:tcPr>
                <w:p w14:paraId="66D64CB7" w14:textId="77777777" w:rsidR="0088157F" w:rsidRDefault="0088157F" w:rsidP="0088157F">
                  <w:pPr>
                    <w:pStyle w:val="NormalnyWeb"/>
                    <w:numPr>
                      <w:ilvl w:val="0"/>
                      <w:numId w:val="5"/>
                    </w:numPr>
                    <w:spacing w:before="0" w:beforeAutospacing="0" w:after="0" w:afterAutospacing="0"/>
                    <w:ind w:left="357" w:hanging="357"/>
                    <w:rPr>
                      <w:rFonts w:ascii="Arial" w:hAnsi="Arial" w:cs="Arial"/>
                      <w:noProof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Zwrot ikoniczny.</w:t>
                  </w:r>
                </w:p>
              </w:tc>
            </w:tr>
            <w:tr w:rsidR="0088157F" w14:paraId="4B608EFD" w14:textId="77777777" w:rsidTr="0082057F">
              <w:tc>
                <w:tcPr>
                  <w:tcW w:w="9423" w:type="dxa"/>
                </w:tcPr>
                <w:p w14:paraId="1F6A4833" w14:textId="77777777" w:rsidR="0088157F" w:rsidRDefault="0088157F" w:rsidP="0088157F">
                  <w:pPr>
                    <w:numPr>
                      <w:ilvl w:val="0"/>
                      <w:numId w:val="5"/>
                    </w:numPr>
                    <w:ind w:left="357" w:hanging="35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iCs/>
                      <w:sz w:val="20"/>
                      <w:szCs w:val="20"/>
                    </w:rPr>
                    <w:t>Synteza i wypowiedź. Poezja i filozofia w sztukach wizualnych na przełomie XX i XXI wieku.</w:t>
                  </w:r>
                </w:p>
              </w:tc>
            </w:tr>
          </w:tbl>
          <w:p w14:paraId="20E00FCB" w14:textId="77777777" w:rsidR="00303F50" w:rsidRDefault="00303F50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</w:tr>
    </w:tbl>
    <w:p w14:paraId="4FED5D2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01A63B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F718F65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296FCF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5728F15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6E7D0E7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645F133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7443361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7C9854D" w14:textId="77777777">
        <w:trPr>
          <w:trHeight w:val="1098"/>
        </w:trPr>
        <w:tc>
          <w:tcPr>
            <w:tcW w:w="9622" w:type="dxa"/>
          </w:tcPr>
          <w:p w14:paraId="5EE39EA8" w14:textId="77777777" w:rsidR="0088157F" w:rsidRDefault="0088157F" w:rsidP="0088157F">
            <w:pPr>
              <w:pStyle w:val="Akapitzlist"/>
              <w:ind w:left="709" w:hanging="7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Estetyka w świecie</w:t>
            </w:r>
            <w:r>
              <w:rPr>
                <w:rFonts w:ascii="Arial" w:hAnsi="Arial" w:cs="Arial"/>
                <w:sz w:val="20"/>
                <w:szCs w:val="20"/>
              </w:rPr>
              <w:t>, red. Maria Gołaszewska, t. 1-5, 1985-1996, skrypty uczelniane UJ.</w:t>
            </w:r>
          </w:p>
          <w:p w14:paraId="5D4A6B12" w14:textId="77777777" w:rsidR="0088157F" w:rsidRDefault="0088157F" w:rsidP="0088157F">
            <w:pPr>
              <w:pStyle w:val="Akapitzlist"/>
              <w:ind w:left="709" w:hanging="7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Gadamer Hans-Georg,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Aktualność piękna. Sztuka jako gra, symbol i święto</w:t>
            </w:r>
            <w:r>
              <w:rPr>
                <w:rFonts w:ascii="Arial" w:hAnsi="Arial" w:cs="Arial"/>
                <w:sz w:val="20"/>
                <w:szCs w:val="20"/>
              </w:rPr>
              <w:t>, przeł. Krystyna Krzemieniowa, Oficyna Naukowa, Warszawa 1993.</w:t>
            </w:r>
          </w:p>
          <w:p w14:paraId="0AFA7BCA" w14:textId="77777777" w:rsidR="0088157F" w:rsidRDefault="0088157F" w:rsidP="0088157F">
            <w:pPr>
              <w:pStyle w:val="Akapitzlist"/>
              <w:ind w:left="709" w:hanging="7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Stróżewski Władysław,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Wokół piękna. Szkice z estetyki</w:t>
            </w:r>
            <w:r>
              <w:rPr>
                <w:rFonts w:ascii="Arial" w:hAnsi="Arial" w:cs="Arial"/>
                <w:sz w:val="20"/>
                <w:szCs w:val="20"/>
              </w:rPr>
              <w:t>, Universitas, Kraków 2002.</w:t>
            </w:r>
          </w:p>
          <w:p w14:paraId="466BBD96" w14:textId="77777777" w:rsidR="0088157F" w:rsidRDefault="0088157F" w:rsidP="0088157F">
            <w:pPr>
              <w:pStyle w:val="Tekstpodstawowywcity"/>
              <w:widowControl/>
              <w:suppressAutoHyphens w:val="0"/>
              <w:autoSpaceDE/>
              <w:spacing w:after="0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Tatarkiewicz Władysław,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Historia estetyki</w:t>
            </w:r>
            <w:r>
              <w:rPr>
                <w:rFonts w:ascii="Arial" w:hAnsi="Arial" w:cs="Arial"/>
                <w:sz w:val="20"/>
                <w:szCs w:val="20"/>
              </w:rPr>
              <w:t>, t. I-III, PWN, Warszawa 2009.</w:t>
            </w:r>
          </w:p>
          <w:p w14:paraId="2E550F17" w14:textId="77777777" w:rsidR="0088157F" w:rsidRDefault="0088157F" w:rsidP="0088157F">
            <w:pPr>
              <w:pStyle w:val="Tekstpodstawowywcity"/>
              <w:widowControl/>
              <w:suppressAutoHyphens w:val="0"/>
              <w:autoSpaceDE/>
              <w:spacing w:after="0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Tatarkiewicz Władysław, </w:t>
            </w:r>
            <w:r>
              <w:rPr>
                <w:rFonts w:ascii="Arial" w:hAnsi="Arial" w:cs="Arial"/>
                <w:i/>
                <w:sz w:val="20"/>
                <w:szCs w:val="20"/>
              </w:rPr>
              <w:t>Dzieje sześciu pojęć</w:t>
            </w:r>
            <w:r>
              <w:rPr>
                <w:rFonts w:ascii="Arial" w:hAnsi="Arial" w:cs="Arial"/>
                <w:sz w:val="20"/>
                <w:szCs w:val="20"/>
              </w:rPr>
              <w:t>, PWN, Warszawa 1976.</w:t>
            </w:r>
          </w:p>
          <w:p w14:paraId="517E5D2E" w14:textId="1030B8E7" w:rsidR="00303F50" w:rsidRDefault="0088157F" w:rsidP="0088157F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Estetyki filozoficzne XX wieku</w:t>
            </w:r>
            <w:r>
              <w:rPr>
                <w:rFonts w:ascii="Arial" w:hAnsi="Arial" w:cs="Arial"/>
                <w:sz w:val="20"/>
                <w:szCs w:val="20"/>
              </w:rPr>
              <w:t>, red. Krystyna Wilkoszewska, Universitas, Kraków: 2000.</w:t>
            </w:r>
          </w:p>
        </w:tc>
      </w:tr>
    </w:tbl>
    <w:p w14:paraId="090BC1C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315AADD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1148A34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5542759" w14:textId="77777777">
        <w:trPr>
          <w:trHeight w:val="1112"/>
        </w:trPr>
        <w:tc>
          <w:tcPr>
            <w:tcW w:w="9622" w:type="dxa"/>
          </w:tcPr>
          <w:p w14:paraId="3CF4BBA5" w14:textId="77777777" w:rsidR="0088157F" w:rsidRDefault="0088157F" w:rsidP="0088157F">
            <w:pPr>
              <w:pStyle w:val="Tekstpodstawowywcity"/>
              <w:widowControl/>
              <w:suppressAutoHyphens w:val="0"/>
              <w:autoSpaceDE/>
              <w:spacing w:before="120" w:after="0"/>
              <w:ind w:left="709" w:right="-108" w:hanging="7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Adorno Theodor W.,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Sztuka i sztuki. Wybór esejów</w:t>
            </w:r>
            <w:r>
              <w:rPr>
                <w:rFonts w:ascii="Arial" w:hAnsi="Arial" w:cs="Arial"/>
                <w:sz w:val="20"/>
                <w:szCs w:val="20"/>
              </w:rPr>
              <w:t>, przeł. Krystyna Krzemień-Ojak, PIW, Warszawa 1990.</w:t>
            </w:r>
          </w:p>
          <w:p w14:paraId="13CF6DA7" w14:textId="77777777" w:rsidR="0088157F" w:rsidRDefault="0088157F" w:rsidP="0088157F">
            <w:pPr>
              <w:pStyle w:val="Tekstpodstawowywcity"/>
              <w:widowControl/>
              <w:suppressAutoHyphens w:val="0"/>
              <w:autoSpaceDE/>
              <w:spacing w:after="0"/>
              <w:ind w:left="709" w:right="-108" w:hanging="7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Barthes Roland,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Światło obrazu. Uwagi o fotografii</w:t>
            </w:r>
            <w:r>
              <w:rPr>
                <w:rFonts w:ascii="Arial" w:hAnsi="Arial" w:cs="Arial"/>
                <w:sz w:val="20"/>
                <w:szCs w:val="20"/>
              </w:rPr>
              <w:t>, przeł. Jacek Trznadel, Wydawnictwo KR, Warszawa 1996.</w:t>
            </w:r>
          </w:p>
          <w:p w14:paraId="17AE68CD" w14:textId="77777777" w:rsidR="0088157F" w:rsidRDefault="0088157F" w:rsidP="0088157F">
            <w:pPr>
              <w:pStyle w:val="Tekstpodstawowywcity"/>
              <w:widowControl/>
              <w:suppressAutoHyphens w:val="0"/>
              <w:autoSpaceDE/>
              <w:spacing w:after="0"/>
              <w:ind w:left="709" w:right="-108" w:hanging="7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Belting Hans, </w:t>
            </w:r>
            <w:r>
              <w:rPr>
                <w:rFonts w:ascii="Arial" w:hAnsi="Arial" w:cs="Arial"/>
                <w:i/>
                <w:sz w:val="20"/>
                <w:szCs w:val="20"/>
              </w:rPr>
              <w:t>Antropologia obraz</w:t>
            </w:r>
            <w:r>
              <w:rPr>
                <w:rFonts w:ascii="Arial" w:hAnsi="Arial" w:cs="Arial"/>
                <w:sz w:val="20"/>
                <w:szCs w:val="20"/>
              </w:rPr>
              <w:t>u, przeł. Mariusz Bryl, Universitas, Kraków 2007.</w:t>
            </w:r>
          </w:p>
          <w:p w14:paraId="18F73EBE" w14:textId="77777777" w:rsidR="0088157F" w:rsidRDefault="0088157F" w:rsidP="0088157F">
            <w:pPr>
              <w:pStyle w:val="Akapitzlist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Bürger Peter, </w:t>
            </w: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Teoria awangardy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, przeł. </w:t>
            </w:r>
            <w:r w:rsidRPr="00F733C6">
              <w:rPr>
                <w:rFonts w:ascii="Arial" w:hAnsi="Arial" w:cs="Arial"/>
                <w:bCs/>
                <w:sz w:val="20"/>
                <w:szCs w:val="20"/>
              </w:rPr>
              <w:t xml:space="preserve">Jadwiga Kita-Huber, red. </w:t>
            </w:r>
            <w:r>
              <w:rPr>
                <w:rFonts w:ascii="Arial" w:hAnsi="Arial" w:cs="Arial"/>
                <w:bCs/>
                <w:sz w:val="20"/>
                <w:szCs w:val="20"/>
              </w:rPr>
              <w:t>Krystyna Wilkoszewska, Universitas, Kraków 2006.</w:t>
            </w:r>
          </w:p>
          <w:p w14:paraId="602EB053" w14:textId="77777777" w:rsidR="0088157F" w:rsidRDefault="0088157F" w:rsidP="0088157F">
            <w:pPr>
              <w:widowControl/>
              <w:suppressAutoHyphens w:val="0"/>
              <w:autoSpaceDE/>
              <w:ind w:left="709" w:right="-108" w:hanging="7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Dziamski Grzegorz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, Sztuka u progu XXI wieku</w:t>
            </w:r>
            <w:r>
              <w:rPr>
                <w:rFonts w:ascii="Arial" w:hAnsi="Arial" w:cs="Arial"/>
                <w:sz w:val="20"/>
                <w:szCs w:val="20"/>
              </w:rPr>
              <w:t>, Humaniora, Poznań 2002.</w:t>
            </w:r>
          </w:p>
          <w:p w14:paraId="7A2F4DEB" w14:textId="77777777" w:rsidR="0088157F" w:rsidRDefault="0088157F" w:rsidP="0088157F">
            <w:pPr>
              <w:pStyle w:val="Akapitzlist"/>
              <w:ind w:left="709" w:hanging="709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Gombrich Ernst H., </w:t>
            </w:r>
            <w:r>
              <w:rPr>
                <w:rFonts w:ascii="Arial" w:hAnsi="Arial" w:cs="Arial"/>
                <w:i/>
                <w:sz w:val="20"/>
                <w:szCs w:val="20"/>
              </w:rPr>
              <w:t>O sztuce</w:t>
            </w:r>
            <w:r>
              <w:rPr>
                <w:rFonts w:ascii="Arial" w:hAnsi="Arial" w:cs="Arial"/>
                <w:sz w:val="20"/>
                <w:szCs w:val="20"/>
              </w:rPr>
              <w:t>, przeł. Monika Dolińska i in., Dom Wydawniczy „Rebis”, Poznań 2008.</w:t>
            </w:r>
          </w:p>
          <w:p w14:paraId="03CD348C" w14:textId="77777777" w:rsidR="0088157F" w:rsidRDefault="0088157F" w:rsidP="0088157F">
            <w:pPr>
              <w:pStyle w:val="Akapitzlist"/>
              <w:ind w:left="709" w:hanging="709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ja-JP"/>
              </w:rPr>
              <w:t>Historia piękna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, red. Umberto Eco, przeł. Agnieszka Kuciak, Dom Wydawniczy „Rebis”, Poznań 2005.</w:t>
            </w:r>
          </w:p>
          <w:p w14:paraId="7265A238" w14:textId="77777777" w:rsidR="0088157F" w:rsidRDefault="0088157F" w:rsidP="0088157F">
            <w:pPr>
              <w:pStyle w:val="Stopka"/>
              <w:widowControl/>
              <w:tabs>
                <w:tab w:val="clear" w:pos="4536"/>
                <w:tab w:val="clear" w:pos="9072"/>
              </w:tabs>
              <w:suppressAutoHyphens w:val="0"/>
              <w:ind w:left="709" w:right="-108" w:hanging="7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Heidegger Martin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, Źródło dzieła sztuki</w:t>
            </w:r>
            <w:r>
              <w:rPr>
                <w:rFonts w:ascii="Arial" w:hAnsi="Arial" w:cs="Arial"/>
                <w:sz w:val="20"/>
                <w:szCs w:val="20"/>
              </w:rPr>
              <w:t xml:space="preserve"> [w:] tegoż,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Drogi lasu</w:t>
            </w:r>
            <w:r>
              <w:rPr>
                <w:rFonts w:ascii="Arial" w:hAnsi="Arial" w:cs="Arial"/>
                <w:sz w:val="20"/>
                <w:szCs w:val="20"/>
              </w:rPr>
              <w:t>, Aletheia, Warszawa 1997.</w:t>
            </w:r>
          </w:p>
          <w:p w14:paraId="400D237F" w14:textId="77777777" w:rsidR="0088157F" w:rsidRDefault="0088157F" w:rsidP="0088157F">
            <w:pPr>
              <w:pStyle w:val="Stopka"/>
              <w:widowControl/>
              <w:tabs>
                <w:tab w:val="clear" w:pos="4536"/>
                <w:tab w:val="clear" w:pos="9072"/>
              </w:tabs>
              <w:suppressAutoHyphens w:val="0"/>
              <w:ind w:left="709" w:right="-108" w:hanging="7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Jan Paweł II,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List do artystów. Do tych, którzy z pasją i poświęceniem poszukują nowych «epifanii» piękna, aby podarować je światu w twórczości artystycznej</w:t>
            </w:r>
            <w:r>
              <w:rPr>
                <w:rFonts w:ascii="Arial" w:hAnsi="Arial" w:cs="Arial"/>
                <w:sz w:val="20"/>
                <w:szCs w:val="20"/>
              </w:rPr>
              <w:t xml:space="preserve">, Watykan 1999, </w:t>
            </w:r>
            <w:hyperlink r:id="rId10" w:history="1">
              <w:r>
                <w:rPr>
                  <w:rStyle w:val="Hipercze"/>
                  <w:rFonts w:ascii="Arial" w:hAnsi="Arial" w:cs="Arial"/>
                  <w:sz w:val="20"/>
                  <w:szCs w:val="20"/>
                </w:rPr>
                <w:t>http://www.opoka.org.pl/biblioteka/W/WP/jan_pawel_ii/listy/do_artystow_04041999.html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5317A15E" w14:textId="77777777" w:rsidR="0088157F" w:rsidRDefault="0088157F" w:rsidP="0088157F">
            <w:pPr>
              <w:pStyle w:val="Stopka"/>
              <w:widowControl/>
              <w:tabs>
                <w:tab w:val="clear" w:pos="4536"/>
                <w:tab w:val="clear" w:pos="9072"/>
              </w:tabs>
              <w:suppressAutoHyphens w:val="0"/>
              <w:ind w:left="709" w:right="-108" w:hanging="7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Kant Immanuel,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Krytyka władzy sądzenia</w:t>
            </w:r>
            <w:r>
              <w:rPr>
                <w:rFonts w:ascii="Arial" w:hAnsi="Arial" w:cs="Arial"/>
                <w:sz w:val="20"/>
                <w:szCs w:val="20"/>
              </w:rPr>
              <w:t>, przeł. Jerzy Gałecki, Adam Landman,PWN, Warszawa 2004.</w:t>
            </w:r>
          </w:p>
          <w:p w14:paraId="4C967202" w14:textId="77777777" w:rsidR="0088157F" w:rsidRDefault="0088157F" w:rsidP="0088157F">
            <w:pPr>
              <w:pStyle w:val="Stopka"/>
              <w:widowControl/>
              <w:tabs>
                <w:tab w:val="clear" w:pos="4536"/>
                <w:tab w:val="clear" w:pos="9072"/>
              </w:tabs>
              <w:suppressAutoHyphens w:val="0"/>
              <w:ind w:left="709" w:right="-108" w:hanging="7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Kluszczyński Ryszard W.,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Film – wideo - multimedia. Sztuka ruchomego obrazu w erze elektronicznej</w:t>
            </w:r>
            <w:r>
              <w:rPr>
                <w:rFonts w:ascii="Arial" w:hAnsi="Arial" w:cs="Arial"/>
                <w:sz w:val="20"/>
                <w:szCs w:val="20"/>
              </w:rPr>
              <w:t>, Rabid, Kraków 2002.</w:t>
            </w:r>
          </w:p>
          <w:p w14:paraId="42A08EEB" w14:textId="77777777" w:rsidR="0088157F" w:rsidRDefault="0088157F" w:rsidP="0088157F">
            <w:pPr>
              <w:pStyle w:val="Stopka"/>
              <w:widowControl/>
              <w:tabs>
                <w:tab w:val="clear" w:pos="4536"/>
                <w:tab w:val="clear" w:pos="9072"/>
              </w:tabs>
              <w:suppressAutoHyphens w:val="0"/>
              <w:ind w:left="709" w:right="-108" w:hanging="7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Kluszczyński Ryszard W.,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Społeczeństwo informacyjne. Cyberkultura. Sztuka multimediów</w:t>
            </w:r>
            <w:r>
              <w:rPr>
                <w:rFonts w:ascii="Arial" w:hAnsi="Arial" w:cs="Arial"/>
                <w:sz w:val="20"/>
                <w:szCs w:val="20"/>
              </w:rPr>
              <w:t>, Rabid, Kraków 2001.</w:t>
            </w:r>
          </w:p>
          <w:p w14:paraId="24979F32" w14:textId="77777777" w:rsidR="0088157F" w:rsidRDefault="0088157F" w:rsidP="0088157F">
            <w:pPr>
              <w:pStyle w:val="Stopka"/>
              <w:widowControl/>
              <w:tabs>
                <w:tab w:val="clear" w:pos="4536"/>
                <w:tab w:val="clear" w:pos="9072"/>
              </w:tabs>
              <w:suppressAutoHyphens w:val="0"/>
              <w:ind w:left="709" w:right="-108" w:hanging="7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Kluszczyński Ryszard W., 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Sztuka interaktywna. Od dzieła-instrumentu do interaktywnego spektaklu, </w:t>
            </w:r>
            <w:r>
              <w:rPr>
                <w:rFonts w:ascii="Arial" w:hAnsi="Arial" w:cs="Arial"/>
                <w:sz w:val="20"/>
                <w:szCs w:val="20"/>
              </w:rPr>
              <w:t>Wydawnictwa Akademickie i Profesjonalne, Warszawa 2010.</w:t>
            </w:r>
          </w:p>
          <w:p w14:paraId="67C30220" w14:textId="77777777" w:rsidR="0088157F" w:rsidRDefault="0088157F" w:rsidP="0088157F">
            <w:pPr>
              <w:widowControl/>
              <w:suppressAutoHyphens w:val="0"/>
              <w:autoSpaceDE/>
              <w:ind w:left="709" w:right="-108" w:hanging="7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Nowe media w komunikacji społecznej w XX wieku. Antologia</w:t>
            </w:r>
            <w:r>
              <w:rPr>
                <w:rFonts w:ascii="Arial" w:hAnsi="Arial" w:cs="Arial"/>
                <w:sz w:val="20"/>
                <w:szCs w:val="20"/>
              </w:rPr>
              <w:t>, red. Maryla Hopfinger, Oficyna Naukowa, Warszawa 2005 (artykuły dotyczące instalacji wideo i sztuki Internetu).</w:t>
            </w:r>
          </w:p>
          <w:p w14:paraId="3F3571F9" w14:textId="77777777" w:rsidR="0088157F" w:rsidRDefault="0088157F" w:rsidP="0088157F">
            <w:pPr>
              <w:widowControl/>
              <w:suppressAutoHyphens w:val="0"/>
              <w:autoSpaceDE/>
              <w:ind w:left="709" w:right="-108" w:hanging="7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Słownik terminów literackich</w:t>
            </w:r>
            <w:r>
              <w:rPr>
                <w:rFonts w:ascii="Arial" w:hAnsi="Arial" w:cs="Arial"/>
                <w:sz w:val="20"/>
                <w:szCs w:val="20"/>
              </w:rPr>
              <w:t>, red. Janusz Sławniński, Michał Głowiński i in., Zakład Narodowy im. Ossolińskich, Wrocław 1988 lub późniejsze wydania, wskazane hasła.</w:t>
            </w:r>
          </w:p>
          <w:p w14:paraId="006229F7" w14:textId="77777777" w:rsidR="0088157F" w:rsidRDefault="0088157F" w:rsidP="0088157F">
            <w:pPr>
              <w:widowControl/>
              <w:suppressAutoHyphens w:val="0"/>
              <w:autoSpaceDE/>
              <w:ind w:left="709" w:right="-108" w:hanging="7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Seel Martin, </w:t>
            </w:r>
            <w:r>
              <w:rPr>
                <w:rFonts w:ascii="Arial" w:hAnsi="Arial" w:cs="Arial"/>
                <w:i/>
                <w:sz w:val="20"/>
                <w:szCs w:val="20"/>
              </w:rPr>
              <w:t>Estetyka obecności fenomenalnej</w:t>
            </w:r>
            <w:r>
              <w:rPr>
                <w:rFonts w:ascii="Arial" w:hAnsi="Arial" w:cs="Arial"/>
                <w:sz w:val="20"/>
                <w:szCs w:val="20"/>
              </w:rPr>
              <w:t>, przeł. Krystyna Krzemieniowa, Universitas, Kraków 2008.</w:t>
            </w:r>
          </w:p>
          <w:p w14:paraId="50F0874D" w14:textId="77777777" w:rsidR="0088157F" w:rsidRDefault="0088157F" w:rsidP="0088157F">
            <w:pPr>
              <w:widowControl/>
              <w:suppressAutoHyphens w:val="0"/>
              <w:autoSpaceDE/>
              <w:ind w:left="709" w:right="-108" w:hanging="7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Solewski Rafał,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Synteza i wypowiedź. Poezja i filozofia w sztukach wizualnych na przełomie XX i XXI wieku: wybrane zagadnienia</w:t>
            </w:r>
            <w:r>
              <w:rPr>
                <w:rFonts w:ascii="Arial" w:hAnsi="Arial" w:cs="Arial"/>
                <w:sz w:val="20"/>
                <w:szCs w:val="20"/>
              </w:rPr>
              <w:t>, Wydawnictwo Naukowe Akademii Pedagogicznej, Kraków 2007.</w:t>
            </w:r>
          </w:p>
          <w:p w14:paraId="36837303" w14:textId="77777777" w:rsidR="0088157F" w:rsidRDefault="0088157F" w:rsidP="0088157F">
            <w:pPr>
              <w:pStyle w:val="Stopka"/>
              <w:widowControl/>
              <w:tabs>
                <w:tab w:val="clear" w:pos="4536"/>
                <w:tab w:val="clear" w:pos="9072"/>
              </w:tabs>
              <w:suppressAutoHyphens w:val="0"/>
              <w:ind w:left="709" w:right="-108" w:hanging="7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Sztuka wobec świata. Dziedziny i granice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, „Estetyka i Krytyka”</w:t>
            </w:r>
            <w:r>
              <w:rPr>
                <w:rFonts w:ascii="Arial" w:hAnsi="Arial" w:cs="Arial"/>
                <w:sz w:val="20"/>
                <w:szCs w:val="20"/>
              </w:rPr>
              <w:t xml:space="preserve"> nr 17/18 (2/2009-1/2010).</w:t>
            </w:r>
          </w:p>
          <w:p w14:paraId="6BDFFA60" w14:textId="77777777" w:rsidR="0088157F" w:rsidRDefault="0088157F" w:rsidP="0088157F">
            <w:pPr>
              <w:pStyle w:val="Stopka"/>
              <w:widowControl/>
              <w:tabs>
                <w:tab w:val="clear" w:pos="4536"/>
                <w:tab w:val="clear" w:pos="9072"/>
              </w:tabs>
              <w:suppressAutoHyphens w:val="0"/>
              <w:ind w:left="709" w:right="-108" w:hanging="709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Uncontrollable Beauty. Toward a New Aesthetics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, red. Bill Beckley with David Shapiro, Allworth Press, New York 1998.</w:t>
            </w:r>
          </w:p>
          <w:p w14:paraId="0A952F3D" w14:textId="77777777" w:rsidR="0088157F" w:rsidRDefault="0088157F" w:rsidP="0088157F">
            <w:pPr>
              <w:pStyle w:val="Stopka"/>
              <w:widowControl/>
              <w:tabs>
                <w:tab w:val="clear" w:pos="4536"/>
                <w:tab w:val="clear" w:pos="9072"/>
              </w:tabs>
              <w:suppressAutoHyphens w:val="0"/>
              <w:ind w:left="709" w:right="-108" w:hanging="709"/>
              <w:rPr>
                <w:rFonts w:ascii="Arial" w:hAnsi="Arial" w:cs="Arial"/>
                <w:sz w:val="20"/>
                <w:szCs w:val="20"/>
              </w:rPr>
            </w:pPr>
            <w:r w:rsidRPr="00F733C6">
              <w:rPr>
                <w:rFonts w:ascii="Arial" w:hAnsi="Arial" w:cs="Arial"/>
                <w:i/>
                <w:sz w:val="20"/>
                <w:szCs w:val="20"/>
              </w:rPr>
              <w:t>Ut pictura poesis</w:t>
            </w:r>
            <w:r w:rsidRPr="00F733C6">
              <w:rPr>
                <w:rFonts w:ascii="Arial" w:hAnsi="Arial" w:cs="Arial"/>
                <w:sz w:val="20"/>
                <w:szCs w:val="20"/>
              </w:rPr>
              <w:t xml:space="preserve">, red. </w:t>
            </w:r>
            <w:r>
              <w:rPr>
                <w:rFonts w:ascii="Arial" w:hAnsi="Arial" w:cs="Arial"/>
                <w:sz w:val="20"/>
                <w:szCs w:val="20"/>
              </w:rPr>
              <w:t>Marek Skwara, Seweryna Wysłouch, Słowo /Obraz / Terytoria, Gdańsk 2006.</w:t>
            </w:r>
          </w:p>
          <w:p w14:paraId="1841DC1A" w14:textId="77777777" w:rsidR="0088157F" w:rsidRDefault="0088157F" w:rsidP="0088157F">
            <w:pPr>
              <w:pStyle w:val="Stopka"/>
              <w:widowControl/>
              <w:tabs>
                <w:tab w:val="clear" w:pos="4536"/>
                <w:tab w:val="clear" w:pos="9072"/>
              </w:tabs>
              <w:suppressAutoHyphens w:val="0"/>
              <w:ind w:left="709" w:right="-108" w:hanging="709"/>
              <w:rPr>
                <w:rStyle w:val="Hipercze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Zeidler-Janiszewska Anna, </w:t>
            </w:r>
            <w:r>
              <w:rPr>
                <w:rFonts w:ascii="Arial" w:hAnsi="Arial" w:cs="Arial"/>
                <w:i/>
                <w:sz w:val="20"/>
                <w:szCs w:val="20"/>
              </w:rPr>
              <w:t>O tzw. zwrocie ikonicznym we współczesnej humanistyce. Kilka uwag wstępnych</w:t>
            </w:r>
            <w:r>
              <w:rPr>
                <w:rFonts w:ascii="Arial" w:hAnsi="Arial" w:cs="Arial"/>
                <w:sz w:val="20"/>
                <w:szCs w:val="20"/>
              </w:rPr>
              <w:t>, http://</w:t>
            </w:r>
            <w:hyperlink r:id="rId11" w:history="1">
              <w:r>
                <w:rPr>
                  <w:rStyle w:val="Hipercze"/>
                  <w:rFonts w:ascii="Arial" w:hAnsi="Arial" w:cs="Arial"/>
                  <w:sz w:val="20"/>
                  <w:szCs w:val="20"/>
                </w:rPr>
                <w:t>www.asp.wroc.pl/dyskurs/Dyskurs4/AnnaZeidlerJaniszewska.pdf</w:t>
              </w:r>
            </w:hyperlink>
            <w:bookmarkStart w:id="0" w:name="a1036c24c-65e2-11db-9f3c-006008767664"/>
            <w:r>
              <w:rPr>
                <w:rStyle w:val="Hipercze"/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AAC76BE" w14:textId="31A599FA" w:rsidR="00303F50" w:rsidRDefault="0088157F" w:rsidP="0088157F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Zeidler-Janiszewska Anna,</w:t>
            </w:r>
            <w:r>
              <w:rPr>
                <w:rFonts w:ascii="Arial" w:eastAsia="MS Mincho" w:hAnsi="Arial" w:cs="Arial"/>
                <w:bCs/>
                <w:sz w:val="20"/>
                <w:szCs w:val="20"/>
                <w:lang w:eastAsia="ja-JP"/>
              </w:rPr>
              <w:t xml:space="preserve"> </w:t>
            </w:r>
            <w:hyperlink r:id="rId12" w:history="1">
              <w:r>
                <w:rPr>
                  <w:rFonts w:ascii="Arial" w:eastAsia="MS Mincho" w:hAnsi="Arial" w:cs="Arial"/>
                  <w:bCs/>
                  <w:i/>
                  <w:sz w:val="20"/>
                  <w:szCs w:val="20"/>
                  <w:lang w:eastAsia="ja-JP"/>
                </w:rPr>
                <w:t>Visual Culture Studies czy antropologicznie zorientowana Bildwissenschaft? O kierunkach zwrotu ikonicznego w naukach o kulturze</w:t>
              </w:r>
              <w:r>
                <w:rPr>
                  <w:rFonts w:ascii="Arial" w:eastAsia="MS Mincho" w:hAnsi="Arial" w:cs="Arial"/>
                  <w:bCs/>
                  <w:sz w:val="20"/>
                  <w:szCs w:val="20"/>
                  <w:lang w:eastAsia="ja-JP"/>
                </w:rPr>
                <w:t>, „</w:t>
              </w:r>
              <w:r>
                <w:rPr>
                  <w:rFonts w:ascii="Arial" w:hAnsi="Arial" w:cs="Arial"/>
                  <w:bCs/>
                  <w:sz w:val="20"/>
                  <w:szCs w:val="20"/>
                </w:rPr>
                <w:t>Teksty Drugie” 4/2006.</w:t>
              </w:r>
              <w:r>
                <w:rPr>
                  <w:rFonts w:ascii="Arial" w:eastAsia="MS Mincho" w:hAnsi="Arial" w:cs="Arial"/>
                  <w:bCs/>
                  <w:sz w:val="20"/>
                  <w:szCs w:val="20"/>
                  <w:lang w:eastAsia="ja-JP"/>
                </w:rPr>
                <w:t xml:space="preserve"> </w:t>
              </w:r>
            </w:hyperlink>
            <w:bookmarkEnd w:id="0"/>
          </w:p>
        </w:tc>
      </w:tr>
    </w:tbl>
    <w:p w14:paraId="7876506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DF68B4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4A0E51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02140615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553A002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5C72B7D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D241483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C33AF3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45D6CC91" w14:textId="3B105042" w:rsidR="00303F50" w:rsidRDefault="0088157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16</w:t>
            </w:r>
          </w:p>
        </w:tc>
      </w:tr>
      <w:tr w:rsidR="00303F50" w14:paraId="7B0DF89F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38043CF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5A321C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E54820D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48F1FA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207EC0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4F71445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5D196B2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2F43D5CC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1BD2BCC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5145EF7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02FFED6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17625402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586DC83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6A7571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5CC547DA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2B7DBAE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23D9417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F66F52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2BD76E86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15D6951D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273633F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FB35B3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1EBEB947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3EFFD8E0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6423357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35C76F26" w14:textId="6E19540F" w:rsidR="00303F50" w:rsidRDefault="0088157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16</w:t>
            </w:r>
          </w:p>
        </w:tc>
      </w:tr>
      <w:tr w:rsidR="00303F50" w14:paraId="37285D36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82FDB91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5F0753D8" w14:textId="5CBABFC1" w:rsidR="00303F50" w:rsidRDefault="0088157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</w:tbl>
    <w:p w14:paraId="228CAEFF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75595" w14:textId="77777777" w:rsidR="00AB72FB" w:rsidRDefault="00AB72FB">
      <w:r>
        <w:separator/>
      </w:r>
    </w:p>
  </w:endnote>
  <w:endnote w:type="continuationSeparator" w:id="0">
    <w:p w14:paraId="6E72ED70" w14:textId="77777777" w:rsidR="00AB72FB" w:rsidRDefault="00AB7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776C8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7197E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2349A7DB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D2124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92328" w14:textId="77777777" w:rsidR="00AB72FB" w:rsidRDefault="00AB72FB">
      <w:r>
        <w:separator/>
      </w:r>
    </w:p>
  </w:footnote>
  <w:footnote w:type="continuationSeparator" w:id="0">
    <w:p w14:paraId="11281F4E" w14:textId="77777777" w:rsidR="00AB72FB" w:rsidRDefault="00AB7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0F346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58EA0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F3C9F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39924A60"/>
    <w:multiLevelType w:val="hybridMultilevel"/>
    <w:tmpl w:val="25F446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4E7AF9"/>
    <w:rsid w:val="00533C41"/>
    <w:rsid w:val="00700CD5"/>
    <w:rsid w:val="00716872"/>
    <w:rsid w:val="007F20B6"/>
    <w:rsid w:val="00827D3B"/>
    <w:rsid w:val="00847145"/>
    <w:rsid w:val="0088157F"/>
    <w:rsid w:val="008B703C"/>
    <w:rsid w:val="009026FF"/>
    <w:rsid w:val="009E70EE"/>
    <w:rsid w:val="009F04D7"/>
    <w:rsid w:val="00A35A93"/>
    <w:rsid w:val="00A8544F"/>
    <w:rsid w:val="00AB72FB"/>
    <w:rsid w:val="00B3368D"/>
    <w:rsid w:val="00C406F2"/>
    <w:rsid w:val="00D32FBE"/>
    <w:rsid w:val="00DB3679"/>
    <w:rsid w:val="00DE2A4C"/>
    <w:rsid w:val="00E1778B"/>
    <w:rsid w:val="00F4095F"/>
    <w:rsid w:val="00FA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F46D59"/>
  <w15:chartTrackingRefBased/>
  <w15:docId w15:val="{5E91923D-646E-4A8D-9C2D-46E64DE2C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NormalnyWeb">
    <w:name w:val="Normal (Web)"/>
    <w:basedOn w:val="Normalny"/>
    <w:semiHidden/>
    <w:rsid w:val="0088157F"/>
    <w:pPr>
      <w:widowControl/>
      <w:suppressAutoHyphens w:val="0"/>
      <w:autoSpaceDE/>
      <w:spacing w:before="100" w:beforeAutospacing="1" w:after="100" w:afterAutospacing="1"/>
    </w:pPr>
  </w:style>
  <w:style w:type="paragraph" w:styleId="Akapitzlist">
    <w:name w:val="List Paragraph"/>
    <w:basedOn w:val="Normalny"/>
    <w:qFormat/>
    <w:rsid w:val="0088157F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semiHidden/>
    <w:rsid w:val="008815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8157F"/>
    <w:rPr>
      <w:sz w:val="24"/>
      <w:szCs w:val="24"/>
    </w:rPr>
  </w:style>
  <w:style w:type="character" w:styleId="Hipercze">
    <w:name w:val="Hyperlink"/>
    <w:semiHidden/>
    <w:rsid w:val="008815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ceeol.com/aspx/issuedetails.aspx?issueid=1036c248-65e2-11db-9f3c-006008767664&amp;articleId=1036c24c-65e2-11db-9f3c-006008767664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sp.wroc.pl/dyskurs/Dyskurs4/AnnaZeidlerJaniszewska.pdf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://www.opoka.org.pl/biblioteka/W/WP/jan_pawel_ii/listy/do_artystow_04041999.html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C1B1C1-1F53-4357-BA17-969B41C7FF2E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1418</Words>
  <Characters>8512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9911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3</cp:revision>
  <cp:lastPrinted>2012-01-27T07:28:00Z</cp:lastPrinted>
  <dcterms:created xsi:type="dcterms:W3CDTF">2022-02-09T03:22:00Z</dcterms:created>
  <dcterms:modified xsi:type="dcterms:W3CDTF">2022-02-09T03:31:00Z</dcterms:modified>
</cp:coreProperties>
</file>