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AEB30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C0D7032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A960D3F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4987170F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E8C66E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B5383B4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DF0728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F952D4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C673CBF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4F926E10" w14:textId="4BD67DE9" w:rsidR="00303F50" w:rsidRDefault="0005784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Seminarium </w:t>
            </w:r>
            <w:r w:rsidR="00E32AA0">
              <w:rPr>
                <w:rFonts w:ascii="Arial" w:hAnsi="Arial" w:cs="Arial"/>
                <w:sz w:val="20"/>
                <w:szCs w:val="20"/>
              </w:rPr>
              <w:t>dyplomowe</w:t>
            </w:r>
          </w:p>
        </w:tc>
      </w:tr>
      <w:tr w:rsidR="00303F50" w14:paraId="4143A92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8F627D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662A43D" w14:textId="74A3F8B4" w:rsidR="00303F50" w:rsidRDefault="0005784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seminar</w:t>
            </w:r>
            <w:proofErr w:type="spellEnd"/>
          </w:p>
        </w:tc>
      </w:tr>
    </w:tbl>
    <w:p w14:paraId="5BBD13B5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0793C0F8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FA9FF1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43AB9B3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Karolina Kolenda</w:t>
            </w:r>
          </w:p>
          <w:p w14:paraId="37ABE44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586075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180B07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A5EA3D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2BC130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6B17596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40F8D927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Karolina Kolenda</w:t>
            </w:r>
          </w:p>
          <w:p w14:paraId="25AF88F5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  <w:p w14:paraId="5A25E609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Agata Wójcik</w:t>
            </w:r>
          </w:p>
          <w:p w14:paraId="7AF6C899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Sebastian Stankiewicz</w:t>
            </w:r>
          </w:p>
          <w:p w14:paraId="687A93E9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Diana Wasilewska</w:t>
            </w:r>
          </w:p>
          <w:p w14:paraId="2D7BCD53" w14:textId="41893513" w:rsidR="00827D3B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Agnieszka Kamrowska</w:t>
            </w:r>
          </w:p>
        </w:tc>
      </w:tr>
      <w:tr w:rsidR="00827D3B" w14:paraId="742FB222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FF5BE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F75015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6C023F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455FACA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4D1BD8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D60FBEC" w14:textId="117C1501" w:rsidR="00827D3B" w:rsidRDefault="0005784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CAD6DB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82E8F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630B79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60087A7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D610E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F85DEC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DBF715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146C380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ED385F8" w14:textId="77777777">
        <w:trPr>
          <w:trHeight w:val="1365"/>
        </w:trPr>
        <w:tc>
          <w:tcPr>
            <w:tcW w:w="9640" w:type="dxa"/>
          </w:tcPr>
          <w:p w14:paraId="64EE532E" w14:textId="3432DCD4" w:rsidR="00303F50" w:rsidRDefault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Kurs ma za zadanie zapoznanie studenta z zasadami sporządzania rozprawy naukowej z dziedziny teorii sztuki i projektowania. Celem kursu jest samodzielnie przygotowanie materiałów, przeprowadzenie badań naukowych i ich opracowanie w formie pracy magisterskiej.</w:t>
            </w:r>
          </w:p>
          <w:p w14:paraId="1E4E726E" w14:textId="77777777" w:rsidR="0053759C" w:rsidRDefault="0053759C">
            <w:pPr>
              <w:rPr>
                <w:sz w:val="20"/>
                <w:szCs w:val="20"/>
              </w:rPr>
            </w:pPr>
          </w:p>
          <w:p w14:paraId="02A838B4" w14:textId="0D5038CE" w:rsidR="0005784C" w:rsidRDefault="00537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Kurs jest kontynuacją kursu „Seminarium dyplomowe” z III semestru</w:t>
            </w:r>
          </w:p>
          <w:p w14:paraId="16AD3B95" w14:textId="433DAC88" w:rsidR="0005784C" w:rsidRDefault="0005784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Kurs prowadzony stacjonarnie lub zdalnie.</w:t>
            </w:r>
          </w:p>
        </w:tc>
      </w:tr>
    </w:tbl>
    <w:p w14:paraId="63C72F7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B74E7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ED4DE3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75CF6F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FBE1E19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47B0A44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0F45B6D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3B7255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W ramach zdobytego już wykształcenia humanistycznego dysponuje wiedzą w zakresie szeroko rozumianej kultury, ze szczególnym pogłębieniem znajomości teorii sztuki i designu, ich historii i współczesnych kierunków rozwoju sztuki i designu.</w:t>
            </w:r>
          </w:p>
          <w:p w14:paraId="799E26B4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2"/>
                <w:szCs w:val="16"/>
              </w:rPr>
            </w:pPr>
          </w:p>
          <w:p w14:paraId="3A4F500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765B35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B95663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9E47DF1" w14:textId="77777777" w:rsidR="0005784C" w:rsidRDefault="0005784C" w:rsidP="0005784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 korzystać różnorodnych zbiorów bibliotecznych.</w:t>
            </w:r>
          </w:p>
          <w:p w14:paraId="7DC06FAC" w14:textId="77777777" w:rsidR="0005784C" w:rsidRDefault="0005784C" w:rsidP="0005784C">
            <w:pPr>
              <w:autoSpaceDE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Dysponuje umiejętnościami pozwalającymi na swobodne poruszanie się w obszarze nowych mediów i technik elektronicznych oraz intermedialnych środków przekazu, pozwalających gromadzić i porównywać najnowsze opublikowane informacje.  </w:t>
            </w:r>
          </w:p>
          <w:p w14:paraId="5A89139E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redagować teksty o sztuce i designie, recenzje, opisy i analizy.</w:t>
            </w:r>
          </w:p>
          <w:p w14:paraId="7D7E6015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438F04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916A9B6" w14:textId="77777777">
        <w:tc>
          <w:tcPr>
            <w:tcW w:w="1941" w:type="dxa"/>
            <w:shd w:val="clear" w:color="auto" w:fill="DBE5F1"/>
            <w:vAlign w:val="center"/>
          </w:tcPr>
          <w:p w14:paraId="239F218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40EE6F8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Kursy teoretyczne oraz praktyczne prowadzone w ramach całego toku studiów. </w:t>
            </w:r>
          </w:p>
          <w:p w14:paraId="0DFB346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C1E1B3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A061A4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72A79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7BEC8B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371983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7EA843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ADF68A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4FD5329" w14:textId="77777777">
        <w:trPr>
          <w:cantSplit/>
          <w:trHeight w:val="1838"/>
        </w:trPr>
        <w:tc>
          <w:tcPr>
            <w:tcW w:w="1979" w:type="dxa"/>
            <w:vMerge/>
          </w:tcPr>
          <w:p w14:paraId="0D275D5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143F621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W01 – ma rozeznanie w okresach historycznych od prehistorii do współczesności; odróżnia dzieła powstałe w różnych epokach</w:t>
            </w:r>
          </w:p>
          <w:p w14:paraId="1746208A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W02 – posiada wiedzę z zakresu historii sztuki, designu i projektowania graficznego</w:t>
            </w:r>
          </w:p>
          <w:p w14:paraId="785B0BB9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W03 – zna literaturę z zakresu zagadnień związanych ze współczesną sztuką i projektowaniem</w:t>
            </w:r>
          </w:p>
          <w:p w14:paraId="5F7E3FB3" w14:textId="57DD9DE2" w:rsidR="00303F50" w:rsidRDefault="0005784C" w:rsidP="000578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W04 – zna pozycje naukowe, w których może uzupełnić wiedzę z zakresu estetyki, filozofii, socjologii, antropologii kulturowej</w:t>
            </w:r>
          </w:p>
        </w:tc>
        <w:tc>
          <w:tcPr>
            <w:tcW w:w="2365" w:type="dxa"/>
          </w:tcPr>
          <w:p w14:paraId="4A78B34C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138348F2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2E9239B1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3ABC039B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K_W05</w:t>
            </w:r>
          </w:p>
          <w:p w14:paraId="59E33603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0F262244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56C182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EE8266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FABA5F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B151B4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3C4239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6957B6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2224AEA" w14:textId="77777777">
        <w:trPr>
          <w:cantSplit/>
          <w:trHeight w:val="2116"/>
        </w:trPr>
        <w:tc>
          <w:tcPr>
            <w:tcW w:w="1985" w:type="dxa"/>
            <w:vMerge/>
          </w:tcPr>
          <w:p w14:paraId="370B9BA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8FD5661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U01 – doskonali umiejętności opisu i analizy dzieła sztuki/projektowego w formie ustnej i pisemnej</w:t>
            </w:r>
          </w:p>
          <w:p w14:paraId="79E771F2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U02 - potrafi sformułować problem badawczy z zakresu humanistyki</w:t>
            </w:r>
          </w:p>
          <w:p w14:paraId="3F0B3F49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U03 - posiada umiejętność gromadzenia materiałów dotyczących wybranego tematu</w:t>
            </w:r>
          </w:p>
          <w:p w14:paraId="2D879C6D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U04 - posiada umiejętność formułowania własnych wniosków z przeprowadzonych obserwacji dzieł sztuki/projektowych</w:t>
            </w:r>
          </w:p>
          <w:p w14:paraId="4688D152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U05 – potrafi budować tekst naukowy w oparciu o przyjęty plan </w:t>
            </w:r>
          </w:p>
          <w:p w14:paraId="7F92A640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B9C0A65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14:paraId="0C47B576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3800CF6D" w14:textId="7A95B05E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A09CF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B2A52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DE5F4A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476481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8B9924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22D461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656F749" w14:textId="77777777">
        <w:trPr>
          <w:cantSplit/>
          <w:trHeight w:val="1984"/>
        </w:trPr>
        <w:tc>
          <w:tcPr>
            <w:tcW w:w="1985" w:type="dxa"/>
            <w:vMerge/>
          </w:tcPr>
          <w:p w14:paraId="09E8B6D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8862BAF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K01- jest zdolny do śledzenia bieżących wydarzeń dotyczących sztuki i designu i ich oceny, a także wiarygodności źródeł z których pochodzą  </w:t>
            </w:r>
          </w:p>
          <w:p w14:paraId="3E46B1F7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K02 – radzi sobie z przygotowaniem prezentacji w przystępnej formie dla grupy seminaryjnej</w:t>
            </w:r>
          </w:p>
          <w:p w14:paraId="39261EF5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K03 – przestrzega prawa autorskiego zdobywając i korzystając z materiałów publikowanych w literaturze naukowej i w Internecie</w:t>
            </w:r>
          </w:p>
          <w:p w14:paraId="64D881F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E1AD40F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  <w:p w14:paraId="56461F4F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5B2C0E10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60FF1F0C" w14:textId="0EE2CE8E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FF105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2387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1DD66FA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1A5FB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AA1B6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6855B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50B09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36A37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DFA3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0898DF3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8F2D8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76652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667E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61E8CD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D0E5E7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B4BAC5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11F51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98C81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E5F8BA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327D43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8A20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01952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68E60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F180C3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EB2FC9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BB8F1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11249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D4C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6D62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BA2F6B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E025DF" w14:textId="7D34831C" w:rsidR="00303F50" w:rsidRDefault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gridSpan w:val="2"/>
            <w:vAlign w:val="center"/>
          </w:tcPr>
          <w:p w14:paraId="1319AF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7C4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7AA407A" w14:textId="77777777">
        <w:trPr>
          <w:trHeight w:val="462"/>
        </w:trPr>
        <w:tc>
          <w:tcPr>
            <w:tcW w:w="1611" w:type="dxa"/>
            <w:vAlign w:val="center"/>
          </w:tcPr>
          <w:p w14:paraId="5E9508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6792E2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EC7F4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CDE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C4454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6842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ED3AA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30FEC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7866A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B0708C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7E9B581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BE4FA9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2BA9F5A" w14:textId="77777777">
        <w:trPr>
          <w:trHeight w:val="1920"/>
        </w:trPr>
        <w:tc>
          <w:tcPr>
            <w:tcW w:w="9622" w:type="dxa"/>
          </w:tcPr>
          <w:p w14:paraId="5F8ADFF5" w14:textId="77777777" w:rsidR="0053759C" w:rsidRDefault="0053759C" w:rsidP="0053759C">
            <w:p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Seminarium magisterskie służy prowadzeniu przez studenta własnej pracy badawczej pod opieką promotora. W trakcie zajęć student wzbogaca swoją wiedzę i doskonali umiejętności potrzebne do przygotowania pracy magisterskiej.</w:t>
            </w:r>
          </w:p>
          <w:p w14:paraId="6DBEAEAA" w14:textId="77777777" w:rsidR="0053759C" w:rsidRDefault="0053759C" w:rsidP="0053759C">
            <w:pPr>
              <w:autoSpaceDN w:val="0"/>
              <w:adjustRightInd w:val="0"/>
              <w:rPr>
                <w:sz w:val="20"/>
                <w:szCs w:val="20"/>
              </w:rPr>
            </w:pPr>
          </w:p>
          <w:p w14:paraId="3A6D6B50" w14:textId="473FA8D8" w:rsidR="00303F50" w:rsidRDefault="0053759C" w:rsidP="0053759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W II semestrze student kontynuuje prace i konsultuje postępy w przygotowaniu rozprawy z promotorem. Na zakończenie semestru przygotowuje całość pracy magisterskiej.</w:t>
            </w:r>
          </w:p>
        </w:tc>
      </w:tr>
    </w:tbl>
    <w:p w14:paraId="1C7FF78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44769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299F41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735874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754EAF5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B9434F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C0D71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07CA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F9C8F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9EB1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0492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F6562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7759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9EBC8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4B36B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2253DE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C58D3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AC7EC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2B56E2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F5D890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A8B3A1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10015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4222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3376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5C98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4C7A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158B1B" w14:textId="3FFE7409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8641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8EC280" w14:textId="0C07AF64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9C88C62" w14:textId="7CE689D1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DBE43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418B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2BA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0874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6CF9B4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25E07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503B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FD6E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73A8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21EC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74BF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E112DE" w14:textId="5034CC5D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9D86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480F48" w14:textId="1442587E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87EFD39" w14:textId="50AB159D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AC532C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3A93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120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9546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5784C" w14:paraId="06FEF97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79F43D" w14:textId="7BCD9128" w:rsidR="0005784C" w:rsidRDefault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A9BBAA6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46CAA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D98110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390B57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750238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2CA53" w14:textId="3214FAF5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78C3E6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FFF7B1" w14:textId="6AEA4C41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1CE106D" w14:textId="16B38F93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958F83E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3849C6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731675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316510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0415CA9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5844205" w14:textId="6AB5975A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05784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FFFFFF"/>
          </w:tcPr>
          <w:p w14:paraId="3DE563C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31985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E33A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002C5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B0DE1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440653" w14:textId="2002CCB0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B350F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358053" w14:textId="6035BF19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D88C844" w14:textId="4673538F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377C9E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8A27E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2948C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D9797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541E50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30995D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1C524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1CF2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F3B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113F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AE80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72F7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85D5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4F425D" w14:textId="7E129A87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6B1B3AA" w14:textId="01EBA0A8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A465E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9E2A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DC52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5732B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764ADB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BFD41F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DD8B8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3A99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0B8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8A18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CC4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3D2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662B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9DE2C6" w14:textId="2BB27DFF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111937C" w14:textId="17366F03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A53AF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7E99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D2E1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1609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5784C" w14:paraId="0F5D83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F6251FD" w14:textId="58642C35" w:rsidR="0005784C" w:rsidRDefault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79F04AD2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735A7F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636585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3A7FAC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0DA1A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FBF195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6FCEA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588BE7" w14:textId="173B9DAC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EFBFA93" w14:textId="35FFC23A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3C8DB8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B9DB1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FD7799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E222CA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40D0B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699927" w14:textId="369DB87F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05784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FFFFFF"/>
          </w:tcPr>
          <w:p w14:paraId="0A254C2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E8407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FE51E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98CCA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F21C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F0326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CA621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223A6A" w14:textId="351CD328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227CC79" w14:textId="68431342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BDC213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F3EE7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10F64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C48C2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05784C" w14:paraId="502F484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605A790" w14:textId="76FD506F" w:rsidR="0005784C" w:rsidRDefault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14:paraId="21FA02A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565A4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59004B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6D3489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8525D7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097A2E" w14:textId="0284A079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A0FEB8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58A1A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C3F329B" w14:textId="5095BD35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F852618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352FE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639FCF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F69142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CCE913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494BB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8D9AE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0D31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EF6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A9B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E5804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772DC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254E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3C42C5" w14:textId="062009D9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ADA3224" w14:textId="690296C3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FC280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BDC8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E10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5A2F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72DD0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A559A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16DF6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A5A0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FC21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AA52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2611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6AD4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5707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D95C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BEAF88" w14:textId="330A1DB3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A60D9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78C5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463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A538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4A15F0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89551AB" w14:textId="77777777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36AF2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F728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D3B0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2DCE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5B46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AC9FEC" w14:textId="7D907B9E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8011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2C43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A2943B6" w14:textId="36F4440F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C1740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0EC4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A1B3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82A2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5DC71E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ADCA81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E2A5A9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A02B6A" w14:textId="77777777">
        <w:tc>
          <w:tcPr>
            <w:tcW w:w="1941" w:type="dxa"/>
            <w:shd w:val="clear" w:color="auto" w:fill="DBE5F1"/>
            <w:vAlign w:val="center"/>
          </w:tcPr>
          <w:p w14:paraId="79E24EE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9FB1F3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52A78B6C" w14:textId="77777777" w:rsidR="00117D30" w:rsidRDefault="00117D30" w:rsidP="00117D30">
            <w:pPr>
              <w:pStyle w:val="Zawartotabeli"/>
              <w:spacing w:before="57" w:after="5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Zaliczenie na podstawie uczestnictwa w konsultacjach. Złożenie na koniec semestru całości pracy magisterskiej.</w:t>
            </w:r>
          </w:p>
          <w:p w14:paraId="009C95CA" w14:textId="77777777" w:rsidR="00117D30" w:rsidRDefault="00117D30" w:rsidP="00117D30">
            <w:pPr>
              <w:pStyle w:val="Zawartotabeli"/>
              <w:spacing w:before="57" w:after="57"/>
              <w:rPr>
                <w:sz w:val="20"/>
                <w:szCs w:val="20"/>
              </w:rPr>
            </w:pPr>
          </w:p>
          <w:p w14:paraId="31EA16BE" w14:textId="25A784A4" w:rsidR="00303F50" w:rsidRPr="00117D30" w:rsidRDefault="00117D30">
            <w:pPr>
              <w:pStyle w:val="Zawartotabeli"/>
              <w:spacing w:before="57" w:after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Ocenie podlega zaangażowanie studenta w zajęcia, jego przygotowanie merytoryczne, udział w dyskusji, udział w dodatkowych formach pogłębiania wiedzy, korzystanie z podpowiedzi promotora odnośnie literatury.  </w:t>
            </w:r>
          </w:p>
          <w:p w14:paraId="7C7737A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FAE38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9B1F38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167922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AD865E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ACAED7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603F8A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D5FFBA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4602B2" w14:textId="6B55300D" w:rsidR="00303F50" w:rsidRDefault="00303F50">
      <w:pPr>
        <w:rPr>
          <w:rFonts w:ascii="Arial" w:hAnsi="Arial" w:cs="Arial"/>
          <w:sz w:val="22"/>
          <w:szCs w:val="16"/>
        </w:rPr>
      </w:pPr>
    </w:p>
    <w:p w14:paraId="3E214567" w14:textId="1D7062CD" w:rsidR="000657D4" w:rsidRDefault="000657D4">
      <w:pPr>
        <w:rPr>
          <w:rFonts w:ascii="Arial" w:hAnsi="Arial" w:cs="Arial"/>
          <w:sz w:val="22"/>
          <w:szCs w:val="16"/>
        </w:rPr>
      </w:pPr>
    </w:p>
    <w:p w14:paraId="7B8B18E7" w14:textId="22474C3B" w:rsidR="000657D4" w:rsidRDefault="000657D4">
      <w:pPr>
        <w:rPr>
          <w:rFonts w:ascii="Arial" w:hAnsi="Arial" w:cs="Arial"/>
          <w:sz w:val="22"/>
          <w:szCs w:val="16"/>
        </w:rPr>
      </w:pPr>
    </w:p>
    <w:p w14:paraId="24444615" w14:textId="6A415484" w:rsidR="000657D4" w:rsidRDefault="000657D4">
      <w:pPr>
        <w:rPr>
          <w:rFonts w:ascii="Arial" w:hAnsi="Arial" w:cs="Arial"/>
          <w:sz w:val="22"/>
          <w:szCs w:val="16"/>
        </w:rPr>
      </w:pPr>
    </w:p>
    <w:p w14:paraId="67543154" w14:textId="23F55A81" w:rsidR="000657D4" w:rsidRDefault="000657D4">
      <w:pPr>
        <w:rPr>
          <w:rFonts w:ascii="Arial" w:hAnsi="Arial" w:cs="Arial"/>
          <w:sz w:val="22"/>
          <w:szCs w:val="16"/>
        </w:rPr>
      </w:pPr>
    </w:p>
    <w:p w14:paraId="169DCB6D" w14:textId="77777777" w:rsidR="000657D4" w:rsidRDefault="000657D4">
      <w:pPr>
        <w:rPr>
          <w:rFonts w:ascii="Arial" w:hAnsi="Arial" w:cs="Arial"/>
          <w:sz w:val="22"/>
          <w:szCs w:val="16"/>
        </w:rPr>
      </w:pPr>
    </w:p>
    <w:p w14:paraId="66E23603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F3EF8A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39469BD" w14:textId="77777777">
        <w:trPr>
          <w:trHeight w:val="1136"/>
        </w:trPr>
        <w:tc>
          <w:tcPr>
            <w:tcW w:w="9622" w:type="dxa"/>
          </w:tcPr>
          <w:p w14:paraId="691AC032" w14:textId="77777777" w:rsidR="00117D30" w:rsidRDefault="00117D30" w:rsidP="00117D30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Kontynuacja badań: gromadzenie materiałów, udział we wskazanych przez promotora wystawach, konferencjach, seminariach naukowych.</w:t>
            </w:r>
          </w:p>
          <w:p w14:paraId="424C2710" w14:textId="77777777" w:rsidR="00117D30" w:rsidRDefault="00117D30" w:rsidP="00117D30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Przygotowanie kolejnych rozdziałów pracy.</w:t>
            </w:r>
          </w:p>
          <w:p w14:paraId="7DD58676" w14:textId="7E83760A" w:rsidR="00303F50" w:rsidRPr="0005784C" w:rsidRDefault="00117D30" w:rsidP="00117D30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Oddanie całości pracy magisterskiej.</w:t>
            </w:r>
          </w:p>
        </w:tc>
      </w:tr>
    </w:tbl>
    <w:p w14:paraId="6FA9175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4F1D18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C000F5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95A757E" w14:textId="0CA012C7" w:rsidR="00D32FBE" w:rsidRDefault="00D32FBE">
      <w:pPr>
        <w:rPr>
          <w:rFonts w:ascii="Arial" w:hAnsi="Arial" w:cs="Arial"/>
          <w:sz w:val="22"/>
          <w:szCs w:val="22"/>
        </w:rPr>
      </w:pPr>
    </w:p>
    <w:p w14:paraId="73FD1AB5" w14:textId="4FF6775B" w:rsidR="000657D4" w:rsidRDefault="000657D4">
      <w:pPr>
        <w:rPr>
          <w:rFonts w:ascii="Arial" w:hAnsi="Arial" w:cs="Arial"/>
          <w:sz w:val="22"/>
          <w:szCs w:val="22"/>
        </w:rPr>
      </w:pPr>
    </w:p>
    <w:p w14:paraId="3D4DC396" w14:textId="77777777" w:rsidR="000657D4" w:rsidRDefault="000657D4">
      <w:pPr>
        <w:rPr>
          <w:rFonts w:ascii="Arial" w:hAnsi="Arial" w:cs="Arial"/>
          <w:sz w:val="22"/>
          <w:szCs w:val="22"/>
        </w:rPr>
      </w:pPr>
    </w:p>
    <w:p w14:paraId="1E5A55A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A943997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372147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A8920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72E606B" w14:textId="77777777">
        <w:trPr>
          <w:trHeight w:val="1098"/>
        </w:trPr>
        <w:tc>
          <w:tcPr>
            <w:tcW w:w="9622" w:type="dxa"/>
          </w:tcPr>
          <w:p w14:paraId="5068796B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R. </w:t>
            </w:r>
            <w:proofErr w:type="spellStart"/>
            <w:r>
              <w:rPr>
                <w:sz w:val="20"/>
                <w:szCs w:val="20"/>
              </w:rPr>
              <w:t>Zenderowski</w:t>
            </w:r>
            <w:proofErr w:type="spellEnd"/>
            <w:r>
              <w:rPr>
                <w:sz w:val="20"/>
                <w:szCs w:val="20"/>
              </w:rPr>
              <w:t>, Praca magisterska: jak pisać i obronić? Wskazówki metodologiczne, Warszawa 2004</w:t>
            </w:r>
          </w:p>
          <w:p w14:paraId="5306D250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 Krajewski, Vademecum autora i wydawcy prac naukowych, Włocławek 2001</w:t>
            </w:r>
          </w:p>
          <w:p w14:paraId="47BF3C1A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P. </w:t>
            </w:r>
            <w:proofErr w:type="spellStart"/>
            <w:r>
              <w:rPr>
                <w:sz w:val="20"/>
                <w:szCs w:val="20"/>
              </w:rPr>
              <w:t>Pioterek</w:t>
            </w:r>
            <w:proofErr w:type="spellEnd"/>
            <w:r>
              <w:rPr>
                <w:sz w:val="20"/>
                <w:szCs w:val="20"/>
              </w:rPr>
              <w:t xml:space="preserve">, B. </w:t>
            </w:r>
            <w:proofErr w:type="spellStart"/>
            <w:r>
              <w:rPr>
                <w:sz w:val="20"/>
                <w:szCs w:val="20"/>
              </w:rPr>
              <w:t>Zieleniecka</w:t>
            </w:r>
            <w:proofErr w:type="spellEnd"/>
            <w:r>
              <w:rPr>
                <w:sz w:val="20"/>
                <w:szCs w:val="20"/>
              </w:rPr>
              <w:t>, Technika pisania prac dyplomowych, Poznań 1997</w:t>
            </w:r>
          </w:p>
          <w:p w14:paraId="0E7180A6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U. Eco, Jak napisać pracę dyplomową. Poradnik dla humanistów, Warszawa 2007</w:t>
            </w:r>
          </w:p>
          <w:p w14:paraId="3361138F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 Boć, Jak napisać pracę magisterską, Wrocław 1994</w:t>
            </w:r>
          </w:p>
          <w:p w14:paraId="2E3811B8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R. Wojciechowska, Przewodnik metodyczny pisania pracy dyplomowej, Warszawa 2010</w:t>
            </w:r>
          </w:p>
          <w:p w14:paraId="380C7F3C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</w:t>
            </w:r>
            <w:proofErr w:type="spellStart"/>
            <w:r>
              <w:rPr>
                <w:sz w:val="20"/>
                <w:szCs w:val="20"/>
              </w:rPr>
              <w:t>Stoczewska</w:t>
            </w:r>
            <w:proofErr w:type="spellEnd"/>
            <w:r>
              <w:rPr>
                <w:sz w:val="20"/>
                <w:szCs w:val="20"/>
              </w:rPr>
              <w:t>, Jak pisać pracę licencjacką lub magisterską. Poradnik dla studentów, Kraków 2006</w:t>
            </w:r>
          </w:p>
          <w:p w14:paraId="5279EDE6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W. Żebrowski, Technika pisania prac licencjackich i magisterskich. Wybrane zagadnienia, Olsztyn 2006</w:t>
            </w:r>
          </w:p>
          <w:p w14:paraId="2AA866E0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Dudziak, A. </w:t>
            </w:r>
            <w:proofErr w:type="spellStart"/>
            <w:r>
              <w:rPr>
                <w:sz w:val="20"/>
                <w:szCs w:val="20"/>
              </w:rPr>
              <w:t>Żejmo</w:t>
            </w:r>
            <w:proofErr w:type="spellEnd"/>
            <w:r>
              <w:rPr>
                <w:sz w:val="20"/>
                <w:szCs w:val="20"/>
              </w:rPr>
              <w:t>, Redagowanie prac dyplomowych. Wskazówki metodyczne dla studentów, Warszawa 2008</w:t>
            </w:r>
          </w:p>
          <w:p w14:paraId="1EF75E5A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 Wójcik, Piszę pracę akademicką, pracę promocyjną – licencjacką, magisterską, doktorską, Warszawa 2012</w:t>
            </w:r>
          </w:p>
          <w:p w14:paraId="79A84365" w14:textId="36B027E5" w:rsidR="00303F50" w:rsidRP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 w:rsidRPr="000657D4">
              <w:rPr>
                <w:sz w:val="20"/>
                <w:szCs w:val="20"/>
              </w:rPr>
              <w:t xml:space="preserve">Z. Łucki, G. </w:t>
            </w:r>
            <w:proofErr w:type="spellStart"/>
            <w:r w:rsidRPr="000657D4">
              <w:rPr>
                <w:sz w:val="20"/>
                <w:szCs w:val="20"/>
              </w:rPr>
              <w:t>Giambarelli</w:t>
            </w:r>
            <w:proofErr w:type="spellEnd"/>
            <w:r w:rsidRPr="000657D4">
              <w:rPr>
                <w:sz w:val="20"/>
                <w:szCs w:val="20"/>
              </w:rPr>
              <w:t>, Jak przygotować pracę dyplomową i doktorską,  Kraków 1996</w:t>
            </w:r>
          </w:p>
        </w:tc>
      </w:tr>
    </w:tbl>
    <w:p w14:paraId="5935C3E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EA98FB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9FB6A0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25FD50F" w14:textId="77777777">
        <w:trPr>
          <w:trHeight w:val="1112"/>
        </w:trPr>
        <w:tc>
          <w:tcPr>
            <w:tcW w:w="9622" w:type="dxa"/>
          </w:tcPr>
          <w:p w14:paraId="690AEB04" w14:textId="349DBF5B" w:rsidR="00303F50" w:rsidRDefault="000657D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Dla każdego tematu dobierana jest odpowiednia literatura, zgodna z obranym tematem z zakresu filozofii, estetyki, nauk niezwiązanych bezpośrednio ze sztukami plastycznymi oraz przede wszystkim z zakresu historii i teorii sztuki.</w:t>
            </w:r>
          </w:p>
          <w:p w14:paraId="4D1F3C79" w14:textId="12EB543A" w:rsidR="000657D4" w:rsidRPr="000657D4" w:rsidRDefault="000657D4" w:rsidP="000657D4">
            <w:pPr>
              <w:ind w:firstLine="708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17D77E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6D3EB1" w14:textId="01980977" w:rsidR="00303F50" w:rsidRDefault="00303F50">
      <w:pPr>
        <w:rPr>
          <w:rFonts w:ascii="Arial" w:hAnsi="Arial" w:cs="Arial"/>
          <w:sz w:val="22"/>
          <w:szCs w:val="16"/>
        </w:rPr>
      </w:pPr>
    </w:p>
    <w:p w14:paraId="40AFCF0E" w14:textId="33A7281A" w:rsidR="000657D4" w:rsidRDefault="000657D4">
      <w:pPr>
        <w:rPr>
          <w:rFonts w:ascii="Arial" w:hAnsi="Arial" w:cs="Arial"/>
          <w:sz w:val="22"/>
          <w:szCs w:val="16"/>
        </w:rPr>
      </w:pPr>
    </w:p>
    <w:p w14:paraId="2EBA2E7C" w14:textId="37961800" w:rsidR="000657D4" w:rsidRDefault="000657D4">
      <w:pPr>
        <w:rPr>
          <w:rFonts w:ascii="Arial" w:hAnsi="Arial" w:cs="Arial"/>
          <w:sz w:val="22"/>
          <w:szCs w:val="16"/>
        </w:rPr>
      </w:pPr>
    </w:p>
    <w:p w14:paraId="14238062" w14:textId="3100F4E9" w:rsidR="000657D4" w:rsidRDefault="000657D4">
      <w:pPr>
        <w:rPr>
          <w:rFonts w:ascii="Arial" w:hAnsi="Arial" w:cs="Arial"/>
          <w:sz w:val="22"/>
          <w:szCs w:val="16"/>
        </w:rPr>
      </w:pPr>
    </w:p>
    <w:p w14:paraId="0CC06929" w14:textId="4C8F0D8E" w:rsidR="000657D4" w:rsidRDefault="000657D4">
      <w:pPr>
        <w:rPr>
          <w:rFonts w:ascii="Arial" w:hAnsi="Arial" w:cs="Arial"/>
          <w:sz w:val="22"/>
          <w:szCs w:val="16"/>
        </w:rPr>
      </w:pPr>
    </w:p>
    <w:p w14:paraId="2707DB40" w14:textId="7372F7D8" w:rsidR="000657D4" w:rsidRDefault="000657D4">
      <w:pPr>
        <w:rPr>
          <w:rFonts w:ascii="Arial" w:hAnsi="Arial" w:cs="Arial"/>
          <w:sz w:val="22"/>
          <w:szCs w:val="16"/>
        </w:rPr>
      </w:pPr>
    </w:p>
    <w:p w14:paraId="1C9B1241" w14:textId="041819F7" w:rsidR="000657D4" w:rsidRDefault="000657D4">
      <w:pPr>
        <w:rPr>
          <w:rFonts w:ascii="Arial" w:hAnsi="Arial" w:cs="Arial"/>
          <w:sz w:val="22"/>
          <w:szCs w:val="16"/>
        </w:rPr>
      </w:pPr>
    </w:p>
    <w:p w14:paraId="57E1CDC6" w14:textId="77777777" w:rsidR="000657D4" w:rsidRDefault="000657D4">
      <w:pPr>
        <w:rPr>
          <w:rFonts w:ascii="Arial" w:hAnsi="Arial" w:cs="Arial"/>
          <w:sz w:val="22"/>
          <w:szCs w:val="16"/>
        </w:rPr>
      </w:pPr>
    </w:p>
    <w:p w14:paraId="7B0AF69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6EA4285F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2AADB30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3BD4E3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4BA10B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1215D3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802853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55E77E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06E9FD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EF80C9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D071FDE" w14:textId="7ADD6540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262F5C90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42A43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46ECE11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9E44B7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95D39C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1FEB55E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23807B5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308882F" w14:textId="12B240DC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777BB8B7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87F7FA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E51387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CF0A877" w14:textId="4A4F0DF5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200F848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06A3C5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9AAD9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702C36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08DD64C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E5B689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3C90C6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2ED9C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90FFBEF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C62FAE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C411D5B" w14:textId="4072070B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6055E2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540CB6D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1C8F901" w14:textId="7185158C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66F8C565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09ACF" w14:textId="77777777" w:rsidR="003D7D7E" w:rsidRDefault="003D7D7E">
      <w:r>
        <w:separator/>
      </w:r>
    </w:p>
  </w:endnote>
  <w:endnote w:type="continuationSeparator" w:id="0">
    <w:p w14:paraId="0ABF4EFA" w14:textId="77777777" w:rsidR="003D7D7E" w:rsidRDefault="003D7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CFC7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6B614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633E438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5BB89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36450" w14:textId="77777777" w:rsidR="003D7D7E" w:rsidRDefault="003D7D7E">
      <w:r>
        <w:separator/>
      </w:r>
    </w:p>
  </w:footnote>
  <w:footnote w:type="continuationSeparator" w:id="0">
    <w:p w14:paraId="34EBCF98" w14:textId="77777777" w:rsidR="003D7D7E" w:rsidRDefault="003D7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24790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C8B71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543C6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4FB77882"/>
    <w:multiLevelType w:val="hybridMultilevel"/>
    <w:tmpl w:val="A69AD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436B43"/>
    <w:multiLevelType w:val="hybridMultilevel"/>
    <w:tmpl w:val="52C4B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5784C"/>
    <w:rsid w:val="000657D4"/>
    <w:rsid w:val="000C4BE6"/>
    <w:rsid w:val="00100620"/>
    <w:rsid w:val="00117D30"/>
    <w:rsid w:val="00257A2E"/>
    <w:rsid w:val="00303F50"/>
    <w:rsid w:val="003A49DD"/>
    <w:rsid w:val="003D7D7E"/>
    <w:rsid w:val="00434CDD"/>
    <w:rsid w:val="0044050E"/>
    <w:rsid w:val="00533C41"/>
    <w:rsid w:val="0053759C"/>
    <w:rsid w:val="005B4B04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32AA0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E8FDD"/>
  <w15:chartTrackingRefBased/>
  <w15:docId w15:val="{190D6D4A-1C4B-463C-92A0-1D8C70B2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rsid w:val="0005784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A78F29-CA87-4E6F-AAC4-04E9D98F395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2022-02-10T00:52:00Z</dcterms:created>
  <dcterms:modified xsi:type="dcterms:W3CDTF">2022-02-10T00:53:00Z</dcterms:modified>
</cp:coreProperties>
</file>