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E2A" w:rsidRPr="007D1E05" w:rsidRDefault="002D7DE1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 Narrow" w:hAnsi="Arial" w:cs="Arial"/>
          <w:color w:val="000000"/>
          <w:sz w:val="22"/>
          <w:szCs w:val="22"/>
        </w:rPr>
      </w:pPr>
      <w:r w:rsidRPr="007D1E05">
        <w:rPr>
          <w:rFonts w:ascii="Arial" w:eastAsia="Arial Narrow" w:hAnsi="Arial" w:cs="Arial"/>
          <w:b/>
          <w:color w:val="000000"/>
          <w:sz w:val="22"/>
          <w:szCs w:val="22"/>
        </w:rPr>
        <w:t>KARTA KURSU</w:t>
      </w:r>
    </w:p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 Narrow" w:hAnsi="Arial" w:cs="Arial"/>
          <w:color w:val="000000"/>
          <w:sz w:val="22"/>
          <w:szCs w:val="22"/>
        </w:rPr>
      </w:pPr>
    </w:p>
    <w:tbl>
      <w:tblPr>
        <w:tblStyle w:val="a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7655"/>
      </w:tblGrid>
      <w:tr w:rsidR="00E03E2A" w:rsidRPr="007D1E05">
        <w:trPr>
          <w:trHeight w:val="380"/>
        </w:trPr>
        <w:tc>
          <w:tcPr>
            <w:tcW w:w="1985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7655" w:type="dxa"/>
            <w:vAlign w:val="center"/>
          </w:tcPr>
          <w:p w:rsidR="00E03E2A" w:rsidRPr="007D1E05" w:rsidRDefault="0075758C" w:rsidP="007575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 Narrow" w:hAnsi="Arial" w:cs="Arial"/>
                <w:color w:val="000000"/>
                <w:sz w:val="22"/>
                <w:szCs w:val="22"/>
              </w:rPr>
              <w:t>Historia sztuk</w:t>
            </w:r>
            <w:r w:rsidR="002D7DE1"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i (A)</w:t>
            </w:r>
          </w:p>
        </w:tc>
      </w:tr>
      <w:tr w:rsidR="00E03E2A" w:rsidRPr="00C72BA0">
        <w:trPr>
          <w:trHeight w:val="360"/>
        </w:trPr>
        <w:tc>
          <w:tcPr>
            <w:tcW w:w="1985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E03E2A" w:rsidRPr="007D1E05" w:rsidRDefault="002D7DE1" w:rsidP="007575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  <w:lang w:val="en-US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  <w:lang w:val="en-US"/>
              </w:rPr>
              <w:t>History of Art (A)</w:t>
            </w:r>
          </w:p>
        </w:tc>
      </w:tr>
    </w:tbl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 Narrow" w:hAnsi="Arial" w:cs="Arial"/>
          <w:color w:val="000000"/>
          <w:sz w:val="22"/>
          <w:szCs w:val="22"/>
          <w:lang w:val="en-US"/>
        </w:rPr>
      </w:pPr>
    </w:p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 Narrow" w:hAnsi="Arial" w:cs="Arial"/>
          <w:color w:val="000000"/>
          <w:sz w:val="22"/>
          <w:szCs w:val="22"/>
          <w:lang w:val="en-US"/>
        </w:rPr>
      </w:pPr>
    </w:p>
    <w:tbl>
      <w:tblPr>
        <w:tblStyle w:val="a0"/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E03E2A" w:rsidRPr="007D1E05">
        <w:tc>
          <w:tcPr>
            <w:tcW w:w="3189" w:type="dxa"/>
            <w:vMerge w:val="restart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E03E2A" w:rsidRPr="007D1E05" w:rsidRDefault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Dr </w:t>
            </w:r>
            <w:r w:rsidR="00E354D2">
              <w:rPr>
                <w:rFonts w:ascii="Arial" w:eastAsia="Arial" w:hAnsi="Arial" w:cs="Arial"/>
                <w:color w:val="000000"/>
                <w:sz w:val="22"/>
                <w:szCs w:val="22"/>
              </w:rPr>
              <w:t>hab. Rafał Solewski, prof. UP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Zespół dydaktyczny</w:t>
            </w:r>
          </w:p>
        </w:tc>
      </w:tr>
      <w:tr w:rsidR="00E03E2A" w:rsidRPr="007D1E05">
        <w:trPr>
          <w:trHeight w:val="340"/>
        </w:trPr>
        <w:tc>
          <w:tcPr>
            <w:tcW w:w="3189" w:type="dxa"/>
            <w:vMerge/>
            <w:shd w:val="clear" w:color="auto" w:fill="DBE5F1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  <w:vMerge/>
            <w:shd w:val="clear" w:color="auto" w:fill="auto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vMerge w:val="restart"/>
            <w:vAlign w:val="center"/>
          </w:tcPr>
          <w:p w:rsidR="00E03E2A" w:rsidRPr="007D1E05" w:rsidRDefault="002D7DE1" w:rsidP="004A5B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Katedra </w:t>
            </w:r>
            <w:r w:rsidR="004A5B89">
              <w:rPr>
                <w:rFonts w:ascii="Arial" w:eastAsia="Arial" w:hAnsi="Arial" w:cs="Arial"/>
                <w:color w:val="000000"/>
                <w:sz w:val="22"/>
                <w:szCs w:val="22"/>
              </w:rPr>
              <w:t>Nauk o Sztuce</w:t>
            </w:r>
          </w:p>
        </w:tc>
      </w:tr>
      <w:tr w:rsidR="00E03E2A" w:rsidRPr="007D1E05">
        <w:trPr>
          <w:trHeight w:val="760"/>
        </w:trPr>
        <w:tc>
          <w:tcPr>
            <w:tcW w:w="3189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Punktacja ECTS*</w:t>
            </w:r>
          </w:p>
        </w:tc>
        <w:tc>
          <w:tcPr>
            <w:tcW w:w="3190" w:type="dxa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1" w:type="dxa"/>
            <w:vMerge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p w:rsidR="00E03E2A" w:rsidRPr="007D1E05" w:rsidRDefault="002D7DE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  <w:r w:rsidRPr="007D1E05">
        <w:rPr>
          <w:rFonts w:ascii="Arial" w:eastAsia="Arial Narrow" w:hAnsi="Arial" w:cs="Arial"/>
          <w:color w:val="000000"/>
          <w:sz w:val="22"/>
          <w:szCs w:val="22"/>
        </w:rPr>
        <w:t>Opis kursu (cele kształcenia)</w:t>
      </w:r>
    </w:p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tbl>
      <w:tblPr>
        <w:tblStyle w:val="a1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40"/>
      </w:tblGrid>
      <w:tr w:rsidR="00E03E2A" w:rsidRPr="007D1E05">
        <w:trPr>
          <w:trHeight w:val="1360"/>
        </w:trPr>
        <w:tc>
          <w:tcPr>
            <w:tcW w:w="9640" w:type="dxa"/>
          </w:tcPr>
          <w:p w:rsidR="007D1E05" w:rsidRPr="007D1E05" w:rsidRDefault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 xml:space="preserve">W ramach kursu zostaną przybliżone najważniejsze zagadnienia z historii sztuki powszechnej od czasów </w:t>
            </w:r>
            <w:r w:rsidR="004A5B89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antycznych</w:t>
            </w: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 xml:space="preserve"> po współczesność. Zagadnienia omawiane będą w układzie problemowym, tak aby w toku rozważań możliwa była refleksja o obecności danego wątku we współczesnej kulturze wizualnej.</w:t>
            </w:r>
          </w:p>
          <w:p w:rsidR="007D1E05" w:rsidRPr="007D1E05" w:rsidRDefault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Kurs prowadzony jest w języku polskim.</w:t>
            </w:r>
          </w:p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</w:tbl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p w:rsidR="00E03E2A" w:rsidRPr="007D1E05" w:rsidRDefault="002D7DE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  <w:r w:rsidRPr="007D1E05">
        <w:rPr>
          <w:rFonts w:ascii="Arial" w:eastAsia="Arial Narrow" w:hAnsi="Arial" w:cs="Arial"/>
          <w:color w:val="000000"/>
          <w:sz w:val="22"/>
          <w:szCs w:val="22"/>
        </w:rPr>
        <w:t>Warunki wstępne</w:t>
      </w:r>
    </w:p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tbl>
      <w:tblPr>
        <w:tblStyle w:val="a2"/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E03E2A" w:rsidRPr="007D1E05">
        <w:trPr>
          <w:trHeight w:val="500"/>
        </w:trPr>
        <w:tc>
          <w:tcPr>
            <w:tcW w:w="1941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Wiedza</w:t>
            </w:r>
          </w:p>
        </w:tc>
        <w:tc>
          <w:tcPr>
            <w:tcW w:w="7699" w:type="dxa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Ogólna wiedza humanistyczna na poziomie szkoły średniej</w:t>
            </w:r>
          </w:p>
        </w:tc>
      </w:tr>
      <w:tr w:rsidR="00E03E2A" w:rsidRPr="007D1E05">
        <w:trPr>
          <w:trHeight w:val="540"/>
        </w:trPr>
        <w:tc>
          <w:tcPr>
            <w:tcW w:w="1941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Posiada umiejętność przygotowywania wystąpień ustnych i komunikatów pisemnych</w:t>
            </w:r>
          </w:p>
        </w:tc>
      </w:tr>
      <w:tr w:rsidR="00E03E2A" w:rsidRPr="007D1E05">
        <w:trPr>
          <w:trHeight w:val="500"/>
        </w:trPr>
        <w:tc>
          <w:tcPr>
            <w:tcW w:w="1941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Kursy</w:t>
            </w:r>
          </w:p>
        </w:tc>
        <w:tc>
          <w:tcPr>
            <w:tcW w:w="7699" w:type="dxa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</w:tbl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p w:rsidR="00E03E2A" w:rsidRPr="007D1E05" w:rsidRDefault="002D7DE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  <w:r w:rsidRPr="007D1E05">
        <w:rPr>
          <w:rFonts w:ascii="Arial" w:eastAsia="Arial Narrow" w:hAnsi="Arial" w:cs="Arial"/>
          <w:color w:val="000000"/>
          <w:sz w:val="22"/>
          <w:szCs w:val="22"/>
        </w:rPr>
        <w:t xml:space="preserve">Efekty kształcenia </w:t>
      </w:r>
    </w:p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tbl>
      <w:tblPr>
        <w:tblStyle w:val="a3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E03E2A" w:rsidRPr="007D1E05">
        <w:trPr>
          <w:trHeight w:val="92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Efekt kształcenia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Odniesienie do efektów kierunkowych</w:t>
            </w:r>
          </w:p>
        </w:tc>
      </w:tr>
      <w:tr w:rsidR="00E03E2A" w:rsidRPr="007D1E05">
        <w:trPr>
          <w:trHeight w:val="1000"/>
        </w:trPr>
        <w:tc>
          <w:tcPr>
            <w:tcW w:w="1979" w:type="dxa"/>
            <w:vMerge/>
            <w:shd w:val="clear" w:color="auto" w:fill="DBE5F1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96" w:type="dxa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 xml:space="preserve">W01 - Student posiada podstawową wiedzę na temat metodologii historii sztuki oraz estetyki </w:t>
            </w:r>
          </w:p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W02 - posiada wiedzę z historii sztuki, zna style i kierunki artystyczne oraz dzieła najważniejszych artystów</w:t>
            </w:r>
          </w:p>
          <w:p w:rsidR="00E03E2A" w:rsidRPr="007D1E05" w:rsidRDefault="0026312C" w:rsidP="00263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 Narrow" w:hAnsi="Arial" w:cs="Arial"/>
                <w:color w:val="000000"/>
                <w:sz w:val="22"/>
                <w:szCs w:val="22"/>
              </w:rPr>
              <w:t>W03- zna szeroki inter</w:t>
            </w:r>
            <w:r w:rsidR="002D7DE1"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 xml:space="preserve">dyscyplinarny kontekst zjawisk w dziedzinie sztuki, </w:t>
            </w:r>
          </w:p>
        </w:tc>
        <w:tc>
          <w:tcPr>
            <w:tcW w:w="2365" w:type="dxa"/>
          </w:tcPr>
          <w:p w:rsidR="00E03E2A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K_W05 – K_W10</w:t>
            </w:r>
          </w:p>
          <w:p w:rsidR="006A7830" w:rsidRPr="007D1E05" w:rsidRDefault="006A78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K_W</w:t>
            </w:r>
            <w:r>
              <w:rPr>
                <w:rFonts w:ascii="Arial" w:eastAsia="Arial Narrow" w:hAnsi="Arial" w:cs="Arial"/>
                <w:color w:val="000000"/>
                <w:sz w:val="22"/>
                <w:szCs w:val="22"/>
              </w:rPr>
              <w:t>13</w:t>
            </w:r>
          </w:p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</w:tbl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tbl>
      <w:tblPr>
        <w:tblStyle w:val="a4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E03E2A" w:rsidRPr="007D1E05">
        <w:trPr>
          <w:trHeight w:val="92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lastRenderedPageBreak/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Efekt kształcenia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Odniesienie do efektów kierunkowych</w:t>
            </w:r>
          </w:p>
        </w:tc>
      </w:tr>
      <w:tr w:rsidR="00E03E2A" w:rsidRPr="007D1E05">
        <w:trPr>
          <w:trHeight w:val="580"/>
        </w:trPr>
        <w:tc>
          <w:tcPr>
            <w:tcW w:w="1985" w:type="dxa"/>
            <w:vMerge/>
            <w:shd w:val="clear" w:color="auto" w:fill="DBE5F1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U01, potrafi analizować dzieła sztuki jako teksty kultury i wykorzystać tę wiedzę w podstawowych wypowiedziach ustnych i pisemnych oraz w praktyce artystycznej</w:t>
            </w:r>
          </w:p>
        </w:tc>
        <w:tc>
          <w:tcPr>
            <w:tcW w:w="2410" w:type="dxa"/>
          </w:tcPr>
          <w:p w:rsidR="00E03E2A" w:rsidRPr="007D1E05" w:rsidRDefault="002D7DE1" w:rsidP="006A78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K_U0</w:t>
            </w:r>
            <w:r w:rsidR="006A7830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6</w:t>
            </w: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; K_U18</w:t>
            </w:r>
          </w:p>
        </w:tc>
      </w:tr>
    </w:tbl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tbl>
      <w:tblPr>
        <w:tblStyle w:val="a5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E03E2A" w:rsidRPr="007D1E05">
        <w:trPr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Efekt kształcenia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Odniesienie do efektów kierunkowych</w:t>
            </w:r>
          </w:p>
        </w:tc>
      </w:tr>
      <w:tr w:rsidR="00E03E2A" w:rsidRPr="007D1E05">
        <w:trPr>
          <w:trHeight w:val="720"/>
        </w:trPr>
        <w:tc>
          <w:tcPr>
            <w:tcW w:w="1985" w:type="dxa"/>
            <w:vMerge/>
            <w:shd w:val="clear" w:color="auto" w:fill="DBE5F1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K01, potrafi ocenić pod katem merytorycznym zebrane informacje</w:t>
            </w:r>
          </w:p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 xml:space="preserve">K02,  wykorzystuje zdobytą wiedzę i dzieli się nią w pracy zespołowej </w:t>
            </w:r>
          </w:p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K_K02, K_K03</w:t>
            </w:r>
          </w:p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</w:tbl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tbl>
      <w:tblPr>
        <w:tblStyle w:val="a6"/>
        <w:tblW w:w="96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E03E2A" w:rsidRPr="007D1E05">
        <w:trPr>
          <w:trHeight w:val="420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Organizacja</w:t>
            </w:r>
          </w:p>
        </w:tc>
      </w:tr>
      <w:tr w:rsidR="00E03E2A" w:rsidRPr="007D1E05">
        <w:trPr>
          <w:trHeight w:val="640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Wykład</w:t>
            </w:r>
          </w:p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Ćwiczenia w grupach</w:t>
            </w:r>
          </w:p>
        </w:tc>
      </w:tr>
      <w:tr w:rsidR="00E03E2A" w:rsidRPr="007D1E05">
        <w:trPr>
          <w:trHeight w:val="460"/>
        </w:trPr>
        <w:tc>
          <w:tcPr>
            <w:tcW w:w="1611" w:type="dxa"/>
            <w:vMerge/>
            <w:shd w:val="clear" w:color="auto" w:fill="DBE5F1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A</w:t>
            </w:r>
          </w:p>
        </w:tc>
        <w:tc>
          <w:tcPr>
            <w:tcW w:w="272" w:type="dxa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K</w:t>
            </w:r>
          </w:p>
        </w:tc>
        <w:tc>
          <w:tcPr>
            <w:tcW w:w="315" w:type="dxa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L</w:t>
            </w:r>
          </w:p>
        </w:tc>
        <w:tc>
          <w:tcPr>
            <w:tcW w:w="284" w:type="dxa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S</w:t>
            </w:r>
          </w:p>
        </w:tc>
        <w:tc>
          <w:tcPr>
            <w:tcW w:w="284" w:type="dxa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P</w:t>
            </w:r>
          </w:p>
        </w:tc>
        <w:tc>
          <w:tcPr>
            <w:tcW w:w="284" w:type="dxa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E</w:t>
            </w:r>
          </w:p>
        </w:tc>
        <w:tc>
          <w:tcPr>
            <w:tcW w:w="284" w:type="dxa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  <w:tr w:rsidR="00E03E2A" w:rsidRPr="007D1E05">
        <w:trPr>
          <w:trHeight w:val="480"/>
        </w:trPr>
        <w:tc>
          <w:tcPr>
            <w:tcW w:w="1611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</w:tbl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p w:rsidR="00E03E2A" w:rsidRPr="007D1E05" w:rsidRDefault="002D7DE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  <w:r w:rsidRPr="007D1E05">
        <w:rPr>
          <w:rFonts w:ascii="Arial" w:eastAsia="Arial Narrow" w:hAnsi="Arial" w:cs="Arial"/>
          <w:color w:val="000000"/>
          <w:sz w:val="22"/>
          <w:szCs w:val="22"/>
        </w:rPr>
        <w:t>Opis metod prowadzenia zajęć</w:t>
      </w:r>
    </w:p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tbl>
      <w:tblPr>
        <w:tblStyle w:val="a7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E03E2A" w:rsidRPr="007D1E05">
        <w:trPr>
          <w:trHeight w:val="680"/>
        </w:trPr>
        <w:tc>
          <w:tcPr>
            <w:tcW w:w="9622" w:type="dxa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hAnsi="Arial" w:cs="Arial"/>
                <w:color w:val="000000"/>
                <w:sz w:val="22"/>
                <w:szCs w:val="22"/>
              </w:rPr>
              <w:t>Zajęcia prowadzone są w formie wykładu opatrzonego z prezentacjami slajdów. Inicjowana przez prowadzącego bywa dyskusja. Możliwe są pytania studentów dotyczące treści prezentowanych na wykładzie.</w:t>
            </w:r>
          </w:p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p w:rsidR="00E03E2A" w:rsidRPr="007D1E05" w:rsidRDefault="002D7DE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  <w:r w:rsidRPr="007D1E05">
        <w:rPr>
          <w:rFonts w:ascii="Arial" w:eastAsia="Arial Narrow" w:hAnsi="Arial" w:cs="Arial"/>
          <w:color w:val="000000"/>
          <w:sz w:val="22"/>
          <w:szCs w:val="22"/>
        </w:rPr>
        <w:t>Formy sprawdzania efektów kształcenia</w:t>
      </w:r>
    </w:p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tbl>
      <w:tblPr>
        <w:tblStyle w:val="a8"/>
        <w:tblW w:w="9621" w:type="dxa"/>
        <w:tblInd w:w="0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E03E2A" w:rsidRPr="007D1E05">
        <w:trPr>
          <w:trHeight w:val="1600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E – learning</w:t>
            </w:r>
          </w:p>
        </w:tc>
        <w:tc>
          <w:tcPr>
            <w:tcW w:w="666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Gry dydaktyczne</w:t>
            </w:r>
          </w:p>
        </w:tc>
        <w:tc>
          <w:tcPr>
            <w:tcW w:w="666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Projekt grupowy</w:t>
            </w:r>
          </w:p>
        </w:tc>
        <w:tc>
          <w:tcPr>
            <w:tcW w:w="666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Referat</w:t>
            </w:r>
          </w:p>
        </w:tc>
        <w:tc>
          <w:tcPr>
            <w:tcW w:w="769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Egzamin ustny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Egzamin pisemny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Inne</w:t>
            </w:r>
          </w:p>
        </w:tc>
      </w:tr>
      <w:tr w:rsidR="00E03E2A" w:rsidRPr="007D1E05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:rsidR="00E03E2A" w:rsidRPr="007D1E05" w:rsidRDefault="002D7DE1" w:rsidP="00263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3E2A" w:rsidRPr="007D1E05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:rsidR="00E03E2A" w:rsidRPr="007D1E05" w:rsidRDefault="002D7DE1" w:rsidP="00263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3E2A" w:rsidRPr="007D1E05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3E2A" w:rsidRPr="007D1E05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3E2A" w:rsidRPr="007D1E05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W05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3E2A" w:rsidRPr="007D1E05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W06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3E2A" w:rsidRPr="007D1E05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3E2A" w:rsidRPr="007D1E05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3E2A" w:rsidRPr="007D1E05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3E2A" w:rsidRPr="007D1E05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3E2A" w:rsidRPr="007D1E05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3E2A" w:rsidRPr="007D1E05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K05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3E2A" w:rsidRPr="007D1E05">
        <w:trPr>
          <w:trHeight w:val="240"/>
        </w:trPr>
        <w:tc>
          <w:tcPr>
            <w:tcW w:w="962" w:type="dxa"/>
            <w:shd w:val="clear" w:color="auto" w:fill="DBE5F1"/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K06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E03E2A" w:rsidRPr="007D1E05" w:rsidRDefault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tbl>
      <w:tblPr>
        <w:tblStyle w:val="a9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D0643F" w:rsidRPr="007D1E05" w:rsidTr="00D0643F">
        <w:tc>
          <w:tcPr>
            <w:tcW w:w="1941" w:type="dxa"/>
            <w:shd w:val="clear" w:color="auto" w:fill="DBE5F1"/>
            <w:vAlign w:val="center"/>
          </w:tcPr>
          <w:p w:rsidR="00D0643F" w:rsidRPr="007D1E05" w:rsidRDefault="00D0643F" w:rsidP="00E354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Kryteria oceny</w:t>
            </w:r>
          </w:p>
        </w:tc>
        <w:tc>
          <w:tcPr>
            <w:tcW w:w="7699" w:type="dxa"/>
          </w:tcPr>
          <w:p w:rsidR="00D0643F" w:rsidRPr="008C0E90" w:rsidRDefault="00D0643F" w:rsidP="00E354D2">
            <w:r w:rsidRPr="008C0E90">
              <w:t xml:space="preserve">Student w trakcie </w:t>
            </w:r>
            <w:r w:rsidR="004A5B89">
              <w:t xml:space="preserve">I </w:t>
            </w:r>
            <w:r w:rsidRPr="008C0E90">
              <w:t xml:space="preserve">semestru zobowiązany jest do zapoznania się z przynajmniej jednym numerem pisma „Artium Quaestiones” lub „Folia Historiae Artium” </w:t>
            </w:r>
            <w:r>
              <w:t xml:space="preserve">(także </w:t>
            </w:r>
            <w:r w:rsidRPr="008C0E90">
              <w:rPr>
                <w:bCs/>
              </w:rPr>
              <w:t>Seria Nowa)</w:t>
            </w:r>
            <w:r w:rsidRPr="008C0E90">
              <w:t>, lub „Rocznik Krakowski” (w tym przeczytania artykuł</w:t>
            </w:r>
            <w:r w:rsidR="004A5B89">
              <w:t>u</w:t>
            </w:r>
            <w:r w:rsidRPr="008C0E90">
              <w:t xml:space="preserve">). </w:t>
            </w:r>
          </w:p>
          <w:p w:rsidR="00D0643F" w:rsidRDefault="00D0643F" w:rsidP="00E354D2">
            <w:pPr>
              <w:ind w:right="-828"/>
            </w:pPr>
            <w:r>
              <w:t>Kilkuzdaniow</w:t>
            </w:r>
            <w:r w:rsidR="004A5B89">
              <w:t>y</w:t>
            </w:r>
            <w:r>
              <w:t xml:space="preserve"> referat</w:t>
            </w:r>
            <w:r w:rsidRPr="003F7462">
              <w:t xml:space="preserve"> z </w:t>
            </w:r>
            <w:r w:rsidR="004A5B89">
              <w:t xml:space="preserve">lektury </w:t>
            </w:r>
            <w:r w:rsidR="0026312C">
              <w:t xml:space="preserve">artykułu jest </w:t>
            </w:r>
            <w:r w:rsidRPr="003F7462">
              <w:t xml:space="preserve">warunkiem </w:t>
            </w:r>
            <w:r>
              <w:t xml:space="preserve">zaliczenia 1. semestru </w:t>
            </w:r>
            <w:r w:rsidR="0075758C">
              <w:t>(z oceną)</w:t>
            </w:r>
          </w:p>
          <w:p w:rsidR="00D0643F" w:rsidRPr="003F7462" w:rsidRDefault="00D0643F" w:rsidP="00E354D2">
            <w:pPr>
              <w:ind w:right="-828"/>
            </w:pPr>
            <w:r>
              <w:t xml:space="preserve">oraz </w:t>
            </w:r>
            <w:r w:rsidRPr="003F7462">
              <w:t>dopuszczenia do testu.</w:t>
            </w:r>
          </w:p>
          <w:p w:rsidR="00D0643F" w:rsidRPr="003F7462" w:rsidRDefault="00D0643F" w:rsidP="00E354D2">
            <w:pPr>
              <w:ind w:right="-828"/>
            </w:pPr>
          </w:p>
          <w:p w:rsidR="00D0643F" w:rsidRPr="006E4A2C" w:rsidRDefault="00D0643F" w:rsidP="0075758C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b/>
                <w:sz w:val="18"/>
                <w:szCs w:val="18"/>
              </w:rPr>
              <w:t xml:space="preserve">Forma </w:t>
            </w:r>
            <w:r w:rsidRPr="00AE6123">
              <w:rPr>
                <w:b/>
                <w:sz w:val="18"/>
                <w:szCs w:val="18"/>
              </w:rPr>
              <w:t xml:space="preserve">egzaminu: </w:t>
            </w:r>
            <w:r>
              <w:rPr>
                <w:sz w:val="18"/>
                <w:szCs w:val="18"/>
              </w:rPr>
              <w:t>Egzamin testowy (</w:t>
            </w:r>
            <w:r w:rsidR="0075758C">
              <w:rPr>
                <w:sz w:val="18"/>
                <w:szCs w:val="18"/>
              </w:rPr>
              <w:t>odpowiedzi krótkim tekstem</w:t>
            </w:r>
            <w:r>
              <w:rPr>
                <w:sz w:val="18"/>
                <w:szCs w:val="18"/>
              </w:rPr>
              <w:t xml:space="preserve">, </w:t>
            </w:r>
            <w:r w:rsidR="0075758C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 xml:space="preserve"> pytań)</w:t>
            </w:r>
            <w:r w:rsidRPr="00AE6123">
              <w:rPr>
                <w:sz w:val="18"/>
                <w:szCs w:val="18"/>
              </w:rPr>
              <w:t>. Możliwość korekty oceny podczas indywidualnej rozmowy połączonej z pytaniami dot. problematyki prezentowanej i dyskutowanej na zajęciach.</w:t>
            </w:r>
            <w:r>
              <w:rPr>
                <w:sz w:val="18"/>
                <w:szCs w:val="18"/>
              </w:rPr>
              <w:t xml:space="preserve"> </w:t>
            </w:r>
            <w:r w:rsidRPr="005412CF">
              <w:rPr>
                <w:b/>
                <w:sz w:val="20"/>
                <w:szCs w:val="20"/>
              </w:rPr>
              <w:t xml:space="preserve">Po </w:t>
            </w:r>
            <w:r w:rsidR="0075758C">
              <w:rPr>
                <w:b/>
                <w:sz w:val="20"/>
                <w:szCs w:val="20"/>
              </w:rPr>
              <w:t>II semestrze (</w:t>
            </w:r>
            <w:r w:rsidRPr="005412CF">
              <w:rPr>
                <w:b/>
                <w:sz w:val="20"/>
                <w:szCs w:val="20"/>
              </w:rPr>
              <w:t xml:space="preserve">kursie Historia </w:t>
            </w:r>
            <w:r w:rsidR="0075758C">
              <w:rPr>
                <w:b/>
                <w:sz w:val="20"/>
                <w:szCs w:val="20"/>
              </w:rPr>
              <w:t>s</w:t>
            </w:r>
            <w:r w:rsidRPr="005412CF">
              <w:rPr>
                <w:b/>
                <w:sz w:val="20"/>
                <w:szCs w:val="20"/>
              </w:rPr>
              <w:t>ztuki B</w:t>
            </w:r>
            <w:r w:rsidR="0075758C">
              <w:rPr>
                <w:b/>
                <w:sz w:val="20"/>
                <w:szCs w:val="20"/>
              </w:rPr>
              <w:t>)</w:t>
            </w:r>
            <w:r w:rsidRPr="005412CF">
              <w:rPr>
                <w:b/>
                <w:sz w:val="20"/>
                <w:szCs w:val="20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</w:tr>
    </w:tbl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tbl>
      <w:tblPr>
        <w:tblStyle w:val="aa"/>
        <w:tblW w:w="25038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  <w:gridCol w:w="7699"/>
        <w:gridCol w:w="7699"/>
      </w:tblGrid>
      <w:tr w:rsidR="00D0643F" w:rsidRPr="007D1E05" w:rsidTr="00D0643F">
        <w:trPr>
          <w:trHeight w:val="440"/>
        </w:trPr>
        <w:tc>
          <w:tcPr>
            <w:tcW w:w="1941" w:type="dxa"/>
            <w:shd w:val="clear" w:color="auto" w:fill="DBE5F1"/>
            <w:vAlign w:val="center"/>
          </w:tcPr>
          <w:p w:rsidR="00D0643F" w:rsidRPr="007D1E05" w:rsidRDefault="00D0643F" w:rsidP="00D064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57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Uwagi</w:t>
            </w:r>
          </w:p>
        </w:tc>
        <w:tc>
          <w:tcPr>
            <w:tcW w:w="7699" w:type="dxa"/>
          </w:tcPr>
          <w:p w:rsidR="00D0643F" w:rsidRPr="00DF4FC8" w:rsidRDefault="00D0643F" w:rsidP="00D0643F">
            <w:pPr>
              <w:ind w:right="-828"/>
              <w:rPr>
                <w:sz w:val="18"/>
                <w:szCs w:val="18"/>
              </w:rPr>
            </w:pPr>
            <w:r w:rsidRPr="00DF4FC8">
              <w:rPr>
                <w:sz w:val="18"/>
                <w:szCs w:val="18"/>
              </w:rPr>
              <w:t xml:space="preserve">Student ma możliwość kontaktu z prowadzącym zajęcia przez e-mail: </w:t>
            </w:r>
            <w:hyperlink r:id="rId7" w:history="1">
              <w:r w:rsidRPr="008733F2">
                <w:rPr>
                  <w:rStyle w:val="Hipercze"/>
                  <w:sz w:val="18"/>
                  <w:szCs w:val="18"/>
                </w:rPr>
                <w:t>rafal.solewski@up.krakow.pl</w:t>
              </w:r>
            </w:hyperlink>
          </w:p>
        </w:tc>
        <w:tc>
          <w:tcPr>
            <w:tcW w:w="7699" w:type="dxa"/>
          </w:tcPr>
          <w:p w:rsidR="00D0643F" w:rsidRPr="007D1E05" w:rsidRDefault="00D0643F" w:rsidP="00D064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828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699" w:type="dxa"/>
          </w:tcPr>
          <w:p w:rsidR="00D0643F" w:rsidRPr="007D1E05" w:rsidRDefault="00D0643F" w:rsidP="00D064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p w:rsidR="00E03E2A" w:rsidRPr="007D1E05" w:rsidRDefault="002D7DE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  <w:r w:rsidRPr="007D1E05">
        <w:rPr>
          <w:rFonts w:ascii="Arial" w:eastAsia="Arial Narrow" w:hAnsi="Arial" w:cs="Arial"/>
          <w:color w:val="000000"/>
          <w:sz w:val="22"/>
          <w:szCs w:val="22"/>
        </w:rPr>
        <w:t>Treści merytoryczne (wykaz tematów)</w:t>
      </w:r>
    </w:p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tbl>
      <w:tblPr>
        <w:tblStyle w:val="ab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E03E2A" w:rsidRPr="007D1E05">
        <w:trPr>
          <w:trHeight w:val="1120"/>
        </w:trPr>
        <w:tc>
          <w:tcPr>
            <w:tcW w:w="9622" w:type="dxa"/>
          </w:tcPr>
          <w:p w:rsidR="006D400B" w:rsidRPr="006D400B" w:rsidRDefault="006D400B" w:rsidP="006D400B">
            <w:pPr>
              <w:rPr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271"/>
              <w:gridCol w:w="7513"/>
              <w:gridCol w:w="425"/>
            </w:tblGrid>
            <w:tr w:rsidR="0026312C" w:rsidRPr="00A2105C" w:rsidTr="003406D4">
              <w:tc>
                <w:tcPr>
                  <w:tcW w:w="8784" w:type="dxa"/>
                  <w:gridSpan w:val="2"/>
                  <w:shd w:val="clear" w:color="auto" w:fill="auto"/>
                </w:tcPr>
                <w:p w:rsidR="0026312C" w:rsidRPr="009B6C48" w:rsidRDefault="0026312C" w:rsidP="0026312C">
                  <w:pPr>
                    <w:jc w:val="center"/>
                  </w:pPr>
                </w:p>
                <w:p w:rsidR="0026312C" w:rsidRDefault="0026312C" w:rsidP="0026312C">
                  <w:pPr>
                    <w:jc w:val="center"/>
                  </w:pPr>
                  <w:r>
                    <w:t>Poniedziałek</w:t>
                  </w:r>
                  <w:r w:rsidRPr="009B6C48">
                    <w:t xml:space="preserve">, </w:t>
                  </w:r>
                  <w:r>
                    <w:t>15.30-17.00</w:t>
                  </w:r>
                  <w:r w:rsidRPr="009B6C48">
                    <w:t xml:space="preserve">, </w:t>
                  </w:r>
                  <w:r>
                    <w:t>zajęcia zdalne</w:t>
                  </w:r>
                </w:p>
                <w:p w:rsidR="0026312C" w:rsidRDefault="0026312C" w:rsidP="0026312C">
                  <w:pPr>
                    <w:jc w:val="center"/>
                  </w:pPr>
                </w:p>
                <w:p w:rsidR="0026312C" w:rsidRPr="009B6C48" w:rsidRDefault="0026312C" w:rsidP="0026312C">
                  <w:pPr>
                    <w:jc w:val="center"/>
                  </w:pP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/>
                <w:p w:rsidR="0026312C" w:rsidRPr="009B6C48" w:rsidRDefault="0026312C" w:rsidP="0026312C">
                  <w:r>
                    <w:t>50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  <w:noProof/>
                    </w:rPr>
                  </w:pPr>
                  <w:r>
                    <w:rPr>
                      <w:rFonts w:eastAsia="MS Mincho"/>
                      <w:noProof/>
                    </w:rPr>
                    <w:t>10</w:t>
                  </w:r>
                  <w:r w:rsidRPr="009B6C48">
                    <w:rPr>
                      <w:rFonts w:eastAsia="MS Mincho"/>
                      <w:noProof/>
                    </w:rPr>
                    <w:t>.10. 20</w:t>
                  </w:r>
                  <w:r>
                    <w:rPr>
                      <w:rFonts w:eastAsia="MS Mincho"/>
                      <w:noProof/>
                    </w:rPr>
                    <w:t>22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Co to jest sztuka</w:t>
                  </w:r>
                  <w:r>
                    <w:rPr>
                      <w:rFonts w:eastAsia="MS Mincho"/>
                    </w:rPr>
                    <w:t>, z czego wynika artystyczność</w:t>
                  </w:r>
                  <w:r w:rsidRPr="009B6C48">
                    <w:rPr>
                      <w:rFonts w:eastAsia="MS Mincho"/>
                    </w:rPr>
                    <w:t>?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2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B6C48" w:rsidRDefault="0026312C" w:rsidP="0026312C">
                  <w:r>
                    <w:t>17</w:t>
                  </w:r>
                  <w:r w:rsidRPr="009B6C48">
                    <w:t>. 10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 xml:space="preserve">Klasyka, </w:t>
                  </w:r>
                  <w:r w:rsidRPr="009B6C48">
                    <w:rPr>
                      <w:rFonts w:eastAsia="MS Mincho"/>
                    </w:rPr>
                    <w:t>Klasycyzm</w:t>
                  </w:r>
                  <w:r>
                    <w:rPr>
                      <w:rFonts w:eastAsia="MS Mincho"/>
                    </w:rPr>
                    <w:t xml:space="preserve"> i klasyczność 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4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B6C48" w:rsidRDefault="0026312C" w:rsidP="0026312C">
                  <w:r>
                    <w:t>24</w:t>
                  </w:r>
                  <w:r w:rsidRPr="009B6C48">
                    <w:t>. 10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A2105C" w:rsidRDefault="0026312C" w:rsidP="0026312C">
                  <w:pPr>
                    <w:rPr>
                      <w:rFonts w:eastAsia="MS Mincho"/>
                    </w:rPr>
                  </w:pPr>
                  <w:r w:rsidRPr="00A2105C">
                    <w:rPr>
                      <w:rFonts w:eastAsia="MS Mincho"/>
                    </w:rPr>
                    <w:t>K</w:t>
                  </w:r>
                  <w:r>
                    <w:rPr>
                      <w:rFonts w:eastAsia="MS Mincho"/>
                    </w:rPr>
                    <w:t>lasy</w:t>
                  </w:r>
                  <w:r w:rsidRPr="00A2105C">
                    <w:rPr>
                      <w:rFonts w:eastAsia="MS Mincho"/>
                    </w:rPr>
                    <w:t>cyzm</w:t>
                  </w:r>
                  <w:r>
                    <w:rPr>
                      <w:rFonts w:eastAsia="MS Mincho"/>
                    </w:rPr>
                    <w:t xml:space="preserve"> w czasach nowoczesnych i współcześnie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6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B6C48" w:rsidRDefault="0026312C" w:rsidP="0026312C">
                  <w:r>
                    <w:t>31</w:t>
                  </w:r>
                  <w:r w:rsidRPr="009B6C48">
                    <w:t>. 10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BE6B4B" w:rsidRDefault="0026312C" w:rsidP="0026312C">
                  <w:pPr>
                    <w:rPr>
                      <w:rFonts w:eastAsia="MS Mincho"/>
                      <w:i/>
                    </w:rPr>
                  </w:pPr>
                  <w:r w:rsidRPr="00BE6B4B">
                    <w:rPr>
                      <w:rFonts w:eastAsia="MS Mincho"/>
                      <w:i/>
                    </w:rPr>
                    <w:t>Godziny rektorskie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Default="0026312C" w:rsidP="0026312C">
                  <w:r>
                    <w:t>07</w:t>
                  </w:r>
                  <w:r w:rsidRPr="009B6C48">
                    <w:t>. 1</w:t>
                  </w:r>
                  <w:r>
                    <w:t>1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Architektura klasycystyczna</w:t>
                  </w:r>
                  <w:r>
                    <w:rPr>
                      <w:rFonts w:eastAsia="MS Mincho"/>
                    </w:rPr>
                    <w:t xml:space="preserve"> i zagadnienie wzniosłości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8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B6C48" w:rsidRDefault="0026312C" w:rsidP="0026312C">
                  <w:r>
                    <w:t>14</w:t>
                  </w:r>
                  <w:r w:rsidRPr="009B6C48">
                    <w:t>. 11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Realizm</w:t>
                  </w:r>
                  <w:r>
                    <w:rPr>
                      <w:rFonts w:eastAsia="MS Mincho"/>
                    </w:rPr>
                    <w:t xml:space="preserve"> i mimetyczność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10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Default="0026312C" w:rsidP="0026312C">
                  <w:r>
                    <w:t>21.11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Realizm i impresjonizm – co to jest widzenie? Co to jest obraz?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12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B6C48" w:rsidRDefault="0026312C" w:rsidP="0026312C">
                  <w:r>
                    <w:t>28.11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Hiperrealizm i pop-art, pop-banalizm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14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B6C48" w:rsidRDefault="0026312C" w:rsidP="0026312C">
                  <w:r>
                    <w:t>05.12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Wzniosłość i realizm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16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Default="0026312C" w:rsidP="0026312C">
                  <w:r>
                    <w:t>12.12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Rodzimość i w</w:t>
                  </w:r>
                  <w:r w:rsidRPr="009B6C48">
                    <w:rPr>
                      <w:rFonts w:eastAsia="MS Mincho"/>
                    </w:rPr>
                    <w:t>ernakularyzm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18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B6C48" w:rsidRDefault="0026312C" w:rsidP="0026312C">
                  <w:r>
                    <w:t>19</w:t>
                  </w:r>
                  <w:r w:rsidRPr="009B6C48">
                    <w:t>. 1</w:t>
                  </w:r>
                  <w:r>
                    <w:t>2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Wernakularyzm i etnodesign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20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Default="0026312C" w:rsidP="0026312C">
                  <w:r>
                    <w:t>09.01.2023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 xml:space="preserve">Sacrum i metafizyczność. Sztuka wczesnochrześcijańska i bizantyjska 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22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B6C48" w:rsidRDefault="0026312C" w:rsidP="0026312C">
                  <w:r>
                    <w:t>16.01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Wczesne średniowiecze. Sztuka romańska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24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05F0D" w:rsidRDefault="0026312C" w:rsidP="0026312C">
                  <w:r>
                    <w:t>23. 01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Sztuka gotycka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26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05F0D" w:rsidRDefault="0026312C" w:rsidP="0026312C">
                  <w:r>
                    <w:t>30</w:t>
                  </w:r>
                  <w:r w:rsidRPr="00905F0D">
                    <w:t>.</w:t>
                  </w:r>
                  <w:r>
                    <w:t xml:space="preserve"> </w:t>
                  </w:r>
                  <w:r w:rsidRPr="00905F0D">
                    <w:t>0</w:t>
                  </w:r>
                  <w:r>
                    <w:t>1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Malowniczość</w:t>
                  </w:r>
                  <w:r>
                    <w:rPr>
                      <w:rFonts w:eastAsia="MS Mincho"/>
                    </w:rPr>
                    <w:t xml:space="preserve">. Manieryzm 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28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05F0D" w:rsidRDefault="0026312C" w:rsidP="0026312C">
                  <w:r>
                    <w:t>27</w:t>
                  </w:r>
                  <w:r w:rsidRPr="00905F0D">
                    <w:t>.0</w:t>
                  </w:r>
                  <w:r>
                    <w:t>2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Barok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30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05F0D" w:rsidRDefault="0026312C" w:rsidP="0026312C">
                  <w:r>
                    <w:t>06.03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Romantyzm i historyzm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32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05F0D" w:rsidRDefault="0026312C" w:rsidP="0026312C">
                  <w:r>
                    <w:t>13.03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Romantyzm polski i historyzm. Dziedzictwo i jego reinterpretacja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34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05F0D" w:rsidRDefault="0026312C" w:rsidP="0026312C">
                  <w:r>
                    <w:t>20.03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Symbolizm i Dekadentyzm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36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05F0D" w:rsidRDefault="0026312C" w:rsidP="0026312C">
                  <w:r>
                    <w:t>27.03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Art Nouveau i Art Deco. Dekoracyjność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38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05F0D" w:rsidRDefault="0026312C" w:rsidP="0026312C">
                  <w:r>
                    <w:t>03.04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Ekspresj</w:t>
                  </w:r>
                  <w:r>
                    <w:rPr>
                      <w:rFonts w:eastAsia="MS Mincho"/>
                    </w:rPr>
                    <w:t>a i ekspresj</w:t>
                  </w:r>
                  <w:r w:rsidRPr="009B6C48">
                    <w:rPr>
                      <w:rFonts w:eastAsia="MS Mincho"/>
                    </w:rPr>
                    <w:t>onizm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40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05F0D" w:rsidRDefault="0026312C" w:rsidP="0026312C">
                  <w:r>
                    <w:t>17.04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 xml:space="preserve">Ekspresjonizm i </w:t>
                  </w:r>
                  <w:r w:rsidRPr="00E3772D">
                    <w:rPr>
                      <w:rFonts w:eastAsia="MS Mincho"/>
                    </w:rPr>
                    <w:t>jego pastisze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42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05F0D" w:rsidRDefault="0026312C" w:rsidP="0026312C">
                  <w:r>
                    <w:t>24.04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Kubizm i sztuka abstrakcyjna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44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05F0D" w:rsidRDefault="0026312C" w:rsidP="0026312C">
                  <w:r>
                    <w:t>08.05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Modernizm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46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05F0D" w:rsidRDefault="0026312C" w:rsidP="0026312C">
                  <w:r w:rsidRPr="00BE6B4B">
                    <w:t>15.05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 xml:space="preserve">Urbanistyka. </w:t>
                  </w:r>
                  <w:r w:rsidRPr="009B6C48">
                    <w:rPr>
                      <w:rFonts w:eastAsia="MS Mincho"/>
                    </w:rPr>
                    <w:t>Kraków</w:t>
                  </w:r>
                  <w:r>
                    <w:rPr>
                      <w:rFonts w:eastAsia="MS Mincho"/>
                    </w:rPr>
                    <w:t>.</w:t>
                  </w:r>
                  <w:r w:rsidRPr="009B6C48">
                    <w:rPr>
                      <w:rFonts w:eastAsia="MS Mincho"/>
                    </w:rPr>
                    <w:t xml:space="preserve"> Problem</w:t>
                  </w:r>
                  <w:r>
                    <w:rPr>
                      <w:rFonts w:eastAsia="MS Mincho"/>
                    </w:rPr>
                    <w:t>y</w:t>
                  </w:r>
                  <w:r w:rsidRPr="009B6C48">
                    <w:rPr>
                      <w:rFonts w:eastAsia="MS Mincho"/>
                    </w:rPr>
                    <w:t xml:space="preserve"> </w:t>
                  </w:r>
                  <w:r>
                    <w:rPr>
                      <w:rFonts w:eastAsia="MS Mincho"/>
                    </w:rPr>
                    <w:t>planowania przestrzennego</w:t>
                  </w:r>
                  <w:r w:rsidRPr="009B6C48">
                    <w:rPr>
                      <w:rFonts w:eastAsia="MS Mincho"/>
                    </w:rPr>
                    <w:t xml:space="preserve"> </w:t>
                  </w:r>
                  <w:r>
                    <w:rPr>
                      <w:rFonts w:eastAsia="MS Mincho"/>
                    </w:rPr>
                    <w:t xml:space="preserve">i </w:t>
                  </w:r>
                  <w:r w:rsidRPr="009B6C48">
                    <w:rPr>
                      <w:rFonts w:eastAsia="MS Mincho"/>
                    </w:rPr>
                    <w:t>konserwacji zabytków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48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Default="0026312C" w:rsidP="0026312C">
                  <w:pPr>
                    <w:rPr>
                      <w:highlight w:val="yellow"/>
                    </w:rPr>
                  </w:pPr>
                  <w:r>
                    <w:rPr>
                      <w:highlight w:val="yellow"/>
                    </w:rPr>
                    <w:t>22.05</w:t>
                  </w:r>
                </w:p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 w:rsidRPr="009B6C48">
                    <w:rPr>
                      <w:rFonts w:eastAsia="MS Mincho"/>
                    </w:rPr>
                    <w:t>Kraków i jego</w:t>
                  </w:r>
                  <w:r>
                    <w:rPr>
                      <w:rFonts w:eastAsia="MS Mincho"/>
                    </w:rPr>
                    <w:t xml:space="preserve"> sztuka. Miasto wielokulturowe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50</w:t>
                  </w:r>
                </w:p>
              </w:tc>
            </w:tr>
            <w:tr w:rsidR="0026312C" w:rsidRPr="00A2105C" w:rsidTr="003406D4">
              <w:tc>
                <w:tcPr>
                  <w:tcW w:w="1271" w:type="dxa"/>
                  <w:shd w:val="clear" w:color="auto" w:fill="auto"/>
                </w:tcPr>
                <w:p w:rsidR="0026312C" w:rsidRPr="00905F0D" w:rsidRDefault="0026312C" w:rsidP="0026312C"/>
              </w:tc>
              <w:tc>
                <w:tcPr>
                  <w:tcW w:w="7513" w:type="dxa"/>
                  <w:shd w:val="clear" w:color="auto" w:fill="auto"/>
                </w:tcPr>
                <w:p w:rsidR="0026312C" w:rsidRPr="009B6C48" w:rsidRDefault="0026312C" w:rsidP="0026312C">
                  <w:pPr>
                    <w:rPr>
                      <w:rFonts w:eastAsia="MS Mincho"/>
                    </w:rPr>
                  </w:pPr>
                  <w:r>
                    <w:rPr>
                      <w:rFonts w:eastAsia="MS Mincho"/>
                    </w:rPr>
                    <w:t>EGZAMIN [22. 06 sesja]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:rsidR="0026312C" w:rsidRDefault="0026312C" w:rsidP="0026312C">
                  <w:pPr>
                    <w:rPr>
                      <w:rFonts w:eastAsia="MS Mincho"/>
                    </w:rPr>
                  </w:pPr>
                </w:p>
              </w:tc>
            </w:tr>
          </w:tbl>
          <w:p w:rsidR="00E03E2A" w:rsidRPr="007D1E05" w:rsidRDefault="00E03E2A" w:rsidP="006D40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</w:tbl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p w:rsidR="00E03E2A" w:rsidRPr="007D1E05" w:rsidRDefault="002D7DE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  <w:r w:rsidRPr="007D1E05">
        <w:rPr>
          <w:rFonts w:ascii="Arial" w:eastAsia="Arial Narrow" w:hAnsi="Arial" w:cs="Arial"/>
          <w:color w:val="000000"/>
          <w:sz w:val="22"/>
          <w:szCs w:val="22"/>
        </w:rPr>
        <w:t>Wykaz literatury podstawowej</w:t>
      </w:r>
    </w:p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tbl>
      <w:tblPr>
        <w:tblStyle w:val="ad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E03E2A" w:rsidRPr="007D1E05">
        <w:trPr>
          <w:trHeight w:val="520"/>
        </w:trPr>
        <w:tc>
          <w:tcPr>
            <w:tcW w:w="9622" w:type="dxa"/>
          </w:tcPr>
          <w:p w:rsidR="00D0643F" w:rsidRPr="00D0643F" w:rsidRDefault="00D0643F" w:rsidP="00D0643F">
            <w:pPr>
              <w:textAlignment w:val="baseline"/>
              <w:rPr>
                <w:color w:val="000000"/>
              </w:rPr>
            </w:pPr>
            <w:r w:rsidRPr="00D0643F">
              <w:rPr>
                <w:color w:val="000000"/>
              </w:rPr>
              <w:t xml:space="preserve">Jan Białostocki, </w:t>
            </w:r>
            <w:r w:rsidRPr="00D0643F">
              <w:rPr>
                <w:i/>
                <w:iCs/>
                <w:color w:val="000000"/>
              </w:rPr>
              <w:t>Sztuka cenniejsza niż złoto. Opowieść o sztuce europejskiej naszej ery</w:t>
            </w:r>
            <w:r w:rsidRPr="00D0643F">
              <w:rPr>
                <w:color w:val="000000"/>
              </w:rPr>
              <w:t>, t. 1-2, PWN, Warszawa 2013. (</w:t>
            </w:r>
            <w:r>
              <w:rPr>
                <w:color w:val="000000"/>
              </w:rPr>
              <w:t xml:space="preserve">lub </w:t>
            </w:r>
            <w:r w:rsidRPr="00D0643F">
              <w:rPr>
                <w:color w:val="000000"/>
              </w:rPr>
              <w:t>różne wydania)</w:t>
            </w:r>
          </w:p>
          <w:p w:rsidR="00D0643F" w:rsidRPr="00D0643F" w:rsidRDefault="00D0643F" w:rsidP="00D064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D0643F">
              <w:rPr>
                <w:i/>
                <w:iCs/>
                <w:color w:val="000000"/>
              </w:rPr>
              <w:t>Sztuka świata</w:t>
            </w:r>
            <w:r w:rsidRPr="00D0643F">
              <w:rPr>
                <w:color w:val="000000"/>
              </w:rPr>
              <w:t>, t. 1-10 oraz (t. 11-18), Arkady,  Warszawa 1991 (różne wydania)</w:t>
            </w:r>
          </w:p>
          <w:p w:rsidR="007D1E05" w:rsidRPr="00D0643F" w:rsidRDefault="007D1E05" w:rsidP="007D1E05">
            <w:pPr>
              <w:textAlignment w:val="baseline"/>
              <w:rPr>
                <w:color w:val="000000"/>
              </w:rPr>
            </w:pPr>
            <w:r w:rsidRPr="00D0643F">
              <w:rPr>
                <w:color w:val="000000"/>
              </w:rPr>
              <w:t xml:space="preserve">E.H. Gombrich, </w:t>
            </w:r>
            <w:r w:rsidRPr="00D0643F">
              <w:rPr>
                <w:i/>
                <w:iCs/>
                <w:color w:val="000000"/>
              </w:rPr>
              <w:t>O sztuce</w:t>
            </w:r>
            <w:r w:rsidRPr="00D0643F">
              <w:rPr>
                <w:color w:val="000000"/>
              </w:rPr>
              <w:t>, Rebis, Poznań 2018. (lub wcześniejsze wydania)</w:t>
            </w:r>
          </w:p>
          <w:p w:rsidR="00D0643F" w:rsidRPr="00D0643F" w:rsidRDefault="00D0643F" w:rsidP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</w:rPr>
            </w:pPr>
          </w:p>
          <w:p w:rsidR="00D0643F" w:rsidRPr="00D0643F" w:rsidRDefault="00D0643F" w:rsidP="00D0643F">
            <w:r w:rsidRPr="00D0643F">
              <w:t xml:space="preserve">Tadeusz Dobrowolski, </w:t>
            </w:r>
            <w:r w:rsidRPr="00D0643F">
              <w:rPr>
                <w:i/>
              </w:rPr>
              <w:t>Sztuka Krakowa</w:t>
            </w:r>
            <w:r w:rsidRPr="00D0643F">
              <w:t>, dowolne wydanie.</w:t>
            </w:r>
          </w:p>
          <w:p w:rsidR="00D0643F" w:rsidRPr="00D0643F" w:rsidRDefault="00D0643F" w:rsidP="00D0643F">
            <w:r w:rsidRPr="00D0643F">
              <w:rPr>
                <w:i/>
                <w:iCs/>
              </w:rPr>
              <w:t>Perspektywy współczesnej historii sztuki, Antologia przekładów “Artium Quastiones”</w:t>
            </w:r>
            <w:r w:rsidRPr="00D0643F">
              <w:t>, red. Mariusz Bryl, Piotr Juszkiewicz, Piotr Piotrowski, Wojciech Suchocki, UAM: Poznań 2009</w:t>
            </w:r>
          </w:p>
          <w:p w:rsidR="00D0643F" w:rsidRPr="00D0643F" w:rsidRDefault="00D0643F" w:rsidP="00D0643F">
            <w:r w:rsidRPr="00D0643F">
              <w:t xml:space="preserve">Maria Rzepińska, </w:t>
            </w:r>
            <w:r w:rsidRPr="00D0643F">
              <w:rPr>
                <w:i/>
              </w:rPr>
              <w:t>Siedem wieków malarstwa europejskiego</w:t>
            </w:r>
            <w:r w:rsidRPr="00D0643F">
              <w:t>, dowolne wydanie.</w:t>
            </w:r>
          </w:p>
          <w:p w:rsidR="00D0643F" w:rsidRPr="00D0643F" w:rsidRDefault="00D0643F" w:rsidP="00D0643F">
            <w:r w:rsidRPr="00D0643F">
              <w:t xml:space="preserve">Władysław Tatarkiewicz, </w:t>
            </w:r>
            <w:r w:rsidRPr="00D0643F">
              <w:rPr>
                <w:i/>
              </w:rPr>
              <w:t>Dzieje sześciu pojęć</w:t>
            </w:r>
            <w:r w:rsidRPr="00D0643F">
              <w:t>, Warszawa 1976</w:t>
            </w:r>
          </w:p>
          <w:p w:rsidR="00D0643F" w:rsidRPr="007D1E05" w:rsidRDefault="00D0643F" w:rsidP="007D1E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</w:tbl>
    <w:p w:rsidR="00E03E2A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p w:rsidR="004A5B89" w:rsidRPr="007D1E05" w:rsidRDefault="004A5B8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p w:rsidR="004A5B89" w:rsidRDefault="004A5B8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p w:rsidR="004A5B89" w:rsidRDefault="004A5B8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p w:rsidR="00E03E2A" w:rsidRPr="007D1E05" w:rsidRDefault="002D7DE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  <w:r w:rsidRPr="007D1E05">
        <w:rPr>
          <w:rFonts w:ascii="Arial" w:eastAsia="Arial Narrow" w:hAnsi="Arial" w:cs="Arial"/>
          <w:color w:val="000000"/>
          <w:sz w:val="22"/>
          <w:szCs w:val="22"/>
        </w:rPr>
        <w:t>Wykaz literatury uzupełniającej</w:t>
      </w:r>
    </w:p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tbl>
      <w:tblPr>
        <w:tblStyle w:val="ae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E03E2A" w:rsidRPr="007D1E05">
        <w:trPr>
          <w:trHeight w:val="400"/>
        </w:trPr>
        <w:tc>
          <w:tcPr>
            <w:tcW w:w="9622" w:type="dxa"/>
          </w:tcPr>
          <w:p w:rsidR="00D0643F" w:rsidRDefault="00D0643F" w:rsidP="00D0643F">
            <w:pPr>
              <w:jc w:val="both"/>
              <w:rPr>
                <w:rFonts w:ascii="Verdana" w:hAnsi="Verdana"/>
                <w:b/>
                <w:sz w:val="14"/>
              </w:rPr>
            </w:pPr>
            <w:r>
              <w:rPr>
                <w:rFonts w:ascii="Verdana" w:hAnsi="Verdana"/>
                <w:b/>
                <w:sz w:val="14"/>
              </w:rPr>
              <w:t>Poszczególne epoki i kierunki</w:t>
            </w:r>
          </w:p>
          <w:p w:rsidR="00D0643F" w:rsidRDefault="00D0643F" w:rsidP="00D0643F">
            <w:pPr>
              <w:jc w:val="both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 xml:space="preserve">H. Honour, </w:t>
            </w:r>
            <w:r>
              <w:rPr>
                <w:rFonts w:ascii="Verdana" w:hAnsi="Verdana"/>
                <w:i/>
                <w:sz w:val="14"/>
              </w:rPr>
              <w:t>Neoklasycyzm</w:t>
            </w:r>
            <w:r>
              <w:rPr>
                <w:rFonts w:ascii="Verdana" w:hAnsi="Verdana"/>
                <w:sz w:val="14"/>
              </w:rPr>
              <w:t>, Warszawa 1972 (tłum. z ang., 1968).</w:t>
            </w:r>
          </w:p>
          <w:p w:rsidR="00D0643F" w:rsidRDefault="00D0643F" w:rsidP="00D0643F">
            <w:pPr>
              <w:jc w:val="both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 xml:space="preserve">M. Poprzędzka, </w:t>
            </w:r>
            <w:r>
              <w:rPr>
                <w:rFonts w:ascii="Verdana" w:hAnsi="Verdana"/>
                <w:i/>
                <w:sz w:val="14"/>
              </w:rPr>
              <w:t>Akademizm</w:t>
            </w:r>
            <w:r>
              <w:rPr>
                <w:rFonts w:ascii="Verdana" w:hAnsi="Verdana"/>
                <w:sz w:val="14"/>
              </w:rPr>
              <w:t>, Warszawa 1977</w:t>
            </w:r>
          </w:p>
          <w:p w:rsidR="00D0643F" w:rsidRDefault="00D0643F" w:rsidP="00D0643F">
            <w:pPr>
              <w:jc w:val="both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 xml:space="preserve">G. Crepaldi, </w:t>
            </w:r>
            <w:r>
              <w:rPr>
                <w:rFonts w:ascii="Verdana" w:hAnsi="Verdana"/>
                <w:i/>
                <w:sz w:val="14"/>
              </w:rPr>
              <w:t>Impresjoniści</w:t>
            </w:r>
            <w:r>
              <w:rPr>
                <w:rFonts w:ascii="Verdana" w:hAnsi="Verdana"/>
                <w:sz w:val="14"/>
              </w:rPr>
              <w:t>, Warszawa 2004 [tłum, z włoskiego]</w:t>
            </w:r>
          </w:p>
          <w:p w:rsidR="00D0643F" w:rsidRDefault="00D0643F" w:rsidP="00D0643F">
            <w:pPr>
              <w:jc w:val="both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 xml:space="preserve">W. Juszczak, </w:t>
            </w:r>
            <w:r>
              <w:rPr>
                <w:rFonts w:ascii="Verdana" w:hAnsi="Verdana"/>
                <w:i/>
                <w:sz w:val="14"/>
              </w:rPr>
              <w:t>Postimpresjoniści</w:t>
            </w:r>
            <w:r>
              <w:rPr>
                <w:rFonts w:ascii="Verdana" w:hAnsi="Verdana"/>
                <w:sz w:val="14"/>
              </w:rPr>
              <w:t>, Warszawa 1985 (i wcześniejsze wydania).</w:t>
            </w:r>
          </w:p>
          <w:p w:rsidR="00D0643F" w:rsidRDefault="00D0643F" w:rsidP="00D0643F">
            <w:pPr>
              <w:jc w:val="both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 xml:space="preserve">G. Fahr-Becker, </w:t>
            </w:r>
            <w:r>
              <w:rPr>
                <w:rFonts w:ascii="Verdana" w:hAnsi="Verdana"/>
                <w:i/>
                <w:sz w:val="14"/>
              </w:rPr>
              <w:t>Secesja</w:t>
            </w:r>
            <w:r>
              <w:rPr>
                <w:rFonts w:ascii="Verdana" w:hAnsi="Verdana"/>
                <w:sz w:val="14"/>
              </w:rPr>
              <w:t>, Warszawa 2000? (tłum. z niemieckiego)</w:t>
            </w:r>
            <w:r>
              <w:rPr>
                <w:rFonts w:ascii="Verdana" w:hAnsi="Verdana"/>
                <w:sz w:val="14"/>
              </w:rPr>
              <w:tab/>
            </w:r>
          </w:p>
          <w:p w:rsidR="00D0643F" w:rsidRDefault="00D0643F" w:rsidP="00D0643F">
            <w:pPr>
              <w:jc w:val="both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 xml:space="preserve">M. Porębski, </w:t>
            </w:r>
            <w:r>
              <w:rPr>
                <w:rFonts w:ascii="Verdana" w:hAnsi="Verdana"/>
                <w:i/>
                <w:sz w:val="14"/>
              </w:rPr>
              <w:t>Kubizm: wprowadzenie do sztuki XX wieku</w:t>
            </w:r>
            <w:r>
              <w:rPr>
                <w:rFonts w:ascii="Verdana" w:hAnsi="Verdana"/>
                <w:sz w:val="14"/>
              </w:rPr>
              <w:t>, Warszawa 1986.</w:t>
            </w:r>
          </w:p>
          <w:p w:rsidR="00D0643F" w:rsidRDefault="00D0643F" w:rsidP="00D0643F">
            <w:pPr>
              <w:jc w:val="both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 xml:space="preserve">A. Kotula, P. Krakowski, </w:t>
            </w:r>
            <w:r>
              <w:rPr>
                <w:rFonts w:ascii="Verdana" w:hAnsi="Verdana"/>
                <w:i/>
                <w:sz w:val="14"/>
              </w:rPr>
              <w:t>Sztuka abstrakcyjna</w:t>
            </w:r>
            <w:r>
              <w:rPr>
                <w:rFonts w:ascii="Verdana" w:hAnsi="Verdana"/>
                <w:sz w:val="14"/>
              </w:rPr>
              <w:t>, Warszawa 1973.</w:t>
            </w:r>
          </w:p>
          <w:p w:rsidR="004A5B89" w:rsidRDefault="00D0643F" w:rsidP="00D0643F">
            <w:pPr>
              <w:jc w:val="both"/>
              <w:rPr>
                <w:rFonts w:ascii="Verdana" w:hAnsi="Verdana"/>
                <w:b/>
                <w:sz w:val="14"/>
              </w:rPr>
            </w:pPr>
            <w:r>
              <w:rPr>
                <w:rFonts w:ascii="Verdana" w:hAnsi="Verdana"/>
                <w:b/>
                <w:sz w:val="14"/>
              </w:rPr>
              <w:tab/>
            </w:r>
          </w:p>
          <w:p w:rsidR="00D0643F" w:rsidRDefault="00D0643F" w:rsidP="00D0643F">
            <w:pPr>
              <w:jc w:val="both"/>
              <w:rPr>
                <w:rFonts w:ascii="Verdana" w:hAnsi="Verdana"/>
                <w:b/>
                <w:sz w:val="14"/>
              </w:rPr>
            </w:pPr>
            <w:r>
              <w:rPr>
                <w:rFonts w:ascii="Verdana" w:hAnsi="Verdana"/>
                <w:b/>
                <w:sz w:val="14"/>
              </w:rPr>
              <w:t>Sztuka polska</w:t>
            </w:r>
          </w:p>
          <w:p w:rsidR="00D0643F" w:rsidRDefault="00D0643F" w:rsidP="00D0643F">
            <w:pPr>
              <w:jc w:val="both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 xml:space="preserve">A. Miłobędzki, </w:t>
            </w:r>
            <w:r>
              <w:rPr>
                <w:rFonts w:ascii="Verdana" w:hAnsi="Verdana"/>
                <w:i/>
                <w:sz w:val="14"/>
              </w:rPr>
              <w:t>Zarys dziejów architektury w Polsce</w:t>
            </w:r>
            <w:r>
              <w:rPr>
                <w:rFonts w:ascii="Verdana" w:hAnsi="Verdana"/>
                <w:sz w:val="14"/>
              </w:rPr>
              <w:t>, Warszawa 1968</w:t>
            </w:r>
          </w:p>
          <w:p w:rsidR="00D0643F" w:rsidRDefault="00D0643F" w:rsidP="00D0643F">
            <w:pPr>
              <w:jc w:val="both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i/>
                <w:sz w:val="14"/>
              </w:rPr>
              <w:t>Malarstwo polskie</w:t>
            </w:r>
            <w:r>
              <w:rPr>
                <w:rFonts w:ascii="Verdana" w:hAnsi="Verdana"/>
                <w:sz w:val="14"/>
              </w:rPr>
              <w:t xml:space="preserve">: M. Walicki, W. Tomkiewicz, A. Ryszkiewicz, </w:t>
            </w:r>
            <w:r>
              <w:rPr>
                <w:rFonts w:ascii="Verdana" w:hAnsi="Verdana"/>
                <w:i/>
                <w:sz w:val="14"/>
              </w:rPr>
              <w:t>Manieryzm, barok</w:t>
            </w:r>
            <w:r>
              <w:rPr>
                <w:rFonts w:ascii="Verdana" w:hAnsi="Verdana"/>
                <w:sz w:val="14"/>
              </w:rPr>
              <w:t xml:space="preserve">, Warszawa 1971; A. Ryszkiewicz, </w:t>
            </w:r>
            <w:r>
              <w:rPr>
                <w:rFonts w:ascii="Verdana" w:hAnsi="Verdana"/>
                <w:i/>
                <w:sz w:val="14"/>
              </w:rPr>
              <w:t>Romantyzm, historyzm, realizm</w:t>
            </w:r>
            <w:r>
              <w:rPr>
                <w:rFonts w:ascii="Verdana" w:hAnsi="Verdana"/>
                <w:sz w:val="14"/>
              </w:rPr>
              <w:t xml:space="preserve">, Warszawa 1989; W. Juszczak, </w:t>
            </w:r>
            <w:r>
              <w:rPr>
                <w:rFonts w:ascii="Verdana" w:hAnsi="Verdana"/>
                <w:i/>
                <w:sz w:val="14"/>
              </w:rPr>
              <w:t>Modernizm</w:t>
            </w:r>
            <w:r>
              <w:rPr>
                <w:rFonts w:ascii="Verdana" w:hAnsi="Verdana"/>
                <w:sz w:val="14"/>
              </w:rPr>
              <w:t xml:space="preserve">, Warszawa 1977; J. Pollakówna, </w:t>
            </w:r>
            <w:r>
              <w:rPr>
                <w:rFonts w:ascii="Verdana" w:hAnsi="Verdana"/>
                <w:i/>
                <w:sz w:val="14"/>
              </w:rPr>
              <w:t>Między wojnami</w:t>
            </w:r>
            <w:r>
              <w:rPr>
                <w:rFonts w:ascii="Verdana" w:hAnsi="Verdana"/>
                <w:sz w:val="14"/>
              </w:rPr>
              <w:t xml:space="preserve">, Warszawa 1982; </w:t>
            </w:r>
          </w:p>
          <w:p w:rsidR="00D0643F" w:rsidRDefault="00D0643F" w:rsidP="00D0643F">
            <w:pPr>
              <w:jc w:val="both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 xml:space="preserve">S. Krzysztofowicz-Kozakowska, F. Stolot, </w:t>
            </w:r>
            <w:r>
              <w:rPr>
                <w:rFonts w:ascii="Verdana" w:hAnsi="Verdana"/>
                <w:i/>
                <w:sz w:val="14"/>
              </w:rPr>
              <w:t>Mistrzowie malarstwa polskiego</w:t>
            </w:r>
            <w:r>
              <w:rPr>
                <w:rFonts w:ascii="Verdana" w:hAnsi="Verdana"/>
                <w:sz w:val="14"/>
              </w:rPr>
              <w:t>, Kraków 2000</w:t>
            </w:r>
          </w:p>
          <w:p w:rsidR="00D0643F" w:rsidRDefault="00D0643F" w:rsidP="00D0643F">
            <w:pPr>
              <w:jc w:val="both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sz w:val="14"/>
              </w:rPr>
              <w:t xml:space="preserve">M. Poprzęcka, </w:t>
            </w:r>
            <w:r>
              <w:rPr>
                <w:rFonts w:ascii="Verdana" w:hAnsi="Verdana"/>
                <w:i/>
                <w:sz w:val="14"/>
              </w:rPr>
              <w:t>Arcydzieła malarstwa polskiego</w:t>
            </w:r>
            <w:r>
              <w:rPr>
                <w:rFonts w:ascii="Verdana" w:hAnsi="Verdana"/>
                <w:sz w:val="14"/>
              </w:rPr>
              <w:t>, Warszawa 2000</w:t>
            </w:r>
          </w:p>
          <w:p w:rsidR="00D0643F" w:rsidRDefault="00D0643F" w:rsidP="00D0643F">
            <w:pPr>
              <w:jc w:val="both"/>
              <w:rPr>
                <w:rFonts w:ascii="Verdana" w:hAnsi="Verdana"/>
                <w:sz w:val="14"/>
              </w:rPr>
            </w:pPr>
            <w:r>
              <w:rPr>
                <w:rFonts w:ascii="Verdana" w:hAnsi="Verdana"/>
                <w:i/>
                <w:sz w:val="14"/>
              </w:rPr>
              <w:t>Malarstwo polskie</w:t>
            </w:r>
            <w:r>
              <w:rPr>
                <w:rFonts w:ascii="Verdana" w:hAnsi="Verdana"/>
                <w:sz w:val="14"/>
              </w:rPr>
              <w:t>, praca zbiorowa, Warszawa 2000</w:t>
            </w:r>
          </w:p>
          <w:p w:rsidR="00E03E2A" w:rsidRPr="007D1E05" w:rsidRDefault="00D0643F" w:rsidP="00D06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>
              <w:rPr>
                <w:rFonts w:ascii="Verdana" w:hAnsi="Verdana"/>
                <w:sz w:val="14"/>
              </w:rPr>
              <w:t xml:space="preserve">Wojciech Włodarczyk, </w:t>
            </w:r>
            <w:r>
              <w:rPr>
                <w:rFonts w:ascii="Verdana" w:hAnsi="Verdana"/>
                <w:i/>
                <w:sz w:val="14"/>
              </w:rPr>
              <w:t>Sztuka polska 1918-2000</w:t>
            </w:r>
            <w:r>
              <w:rPr>
                <w:rFonts w:ascii="Verdana" w:hAnsi="Verdana"/>
                <w:sz w:val="14"/>
              </w:rPr>
              <w:t>, Warszawa 2000</w:t>
            </w:r>
          </w:p>
        </w:tc>
      </w:tr>
    </w:tbl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p w:rsidR="004A5B89" w:rsidRDefault="004A5B8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p w:rsidR="00E03E2A" w:rsidRPr="007D1E05" w:rsidRDefault="002D7DE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  <w:r w:rsidRPr="007D1E05">
        <w:rPr>
          <w:rFonts w:ascii="Arial" w:eastAsia="Arial Narrow" w:hAnsi="Arial" w:cs="Arial"/>
          <w:color w:val="000000"/>
          <w:sz w:val="22"/>
          <w:szCs w:val="22"/>
        </w:rPr>
        <w:t>Bilans godzinowy zgodny z CNPS (Całkowity Nakład Pracy Studenta)</w:t>
      </w:r>
    </w:p>
    <w:p w:rsidR="00E03E2A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</w:p>
    <w:tbl>
      <w:tblPr>
        <w:tblStyle w:val="af"/>
        <w:tblW w:w="9582" w:type="dxa"/>
        <w:tblInd w:w="0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66"/>
      </w:tblGrid>
      <w:tr w:rsidR="00E03E2A" w:rsidRPr="007D1E05">
        <w:trPr>
          <w:trHeight w:val="320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E03E2A" w:rsidRPr="007D1E05" w:rsidRDefault="002D7D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:rsidR="00E03E2A" w:rsidRPr="007D1E05" w:rsidRDefault="002D7D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Wykład</w:t>
            </w:r>
          </w:p>
        </w:tc>
        <w:tc>
          <w:tcPr>
            <w:tcW w:w="1066" w:type="dxa"/>
            <w:vAlign w:val="center"/>
          </w:tcPr>
          <w:p w:rsidR="00E03E2A" w:rsidRPr="007D1E05" w:rsidRDefault="002D7D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25</w:t>
            </w:r>
          </w:p>
        </w:tc>
      </w:tr>
      <w:tr w:rsidR="00E03E2A" w:rsidRPr="007D1E05">
        <w:trPr>
          <w:trHeight w:val="320"/>
        </w:trPr>
        <w:tc>
          <w:tcPr>
            <w:tcW w:w="2766" w:type="dxa"/>
            <w:vMerge/>
            <w:shd w:val="clear" w:color="auto" w:fill="DBE5F1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750" w:type="dxa"/>
            <w:vAlign w:val="center"/>
          </w:tcPr>
          <w:p w:rsidR="00E03E2A" w:rsidRPr="007D1E05" w:rsidRDefault="002D7D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E03E2A" w:rsidRPr="007D1E05" w:rsidRDefault="00E03E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  <w:tr w:rsidR="00E03E2A" w:rsidRPr="007D1E05">
        <w:trPr>
          <w:trHeight w:val="660"/>
        </w:trPr>
        <w:tc>
          <w:tcPr>
            <w:tcW w:w="2766" w:type="dxa"/>
            <w:vMerge/>
            <w:shd w:val="clear" w:color="auto" w:fill="DBE5F1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E03E2A" w:rsidRPr="007D1E05" w:rsidRDefault="002D7D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E03E2A" w:rsidRPr="007D1E05" w:rsidRDefault="002D7D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5</w:t>
            </w:r>
          </w:p>
        </w:tc>
      </w:tr>
      <w:tr w:rsidR="00E03E2A" w:rsidRPr="007D1E05">
        <w:trPr>
          <w:trHeight w:val="340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E03E2A" w:rsidRPr="007D1E05" w:rsidRDefault="002D7D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:rsidR="00E03E2A" w:rsidRPr="007D1E05" w:rsidRDefault="002D7D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E03E2A" w:rsidRPr="007D1E05" w:rsidRDefault="001E4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 Narrow" w:hAnsi="Arial" w:cs="Arial"/>
                <w:color w:val="000000"/>
                <w:sz w:val="22"/>
                <w:szCs w:val="22"/>
              </w:rPr>
              <w:t>10</w:t>
            </w:r>
          </w:p>
        </w:tc>
      </w:tr>
      <w:tr w:rsidR="00E03E2A" w:rsidRPr="007D1E05">
        <w:trPr>
          <w:trHeight w:val="700"/>
        </w:trPr>
        <w:tc>
          <w:tcPr>
            <w:tcW w:w="2766" w:type="dxa"/>
            <w:vMerge/>
            <w:shd w:val="clear" w:color="auto" w:fill="DBE5F1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750" w:type="dxa"/>
            <w:vAlign w:val="center"/>
          </w:tcPr>
          <w:p w:rsidR="00E03E2A" w:rsidRPr="007D1E05" w:rsidRDefault="002D7D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E03E2A" w:rsidRPr="007D1E05" w:rsidRDefault="00D06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 Narrow" w:hAnsi="Arial" w:cs="Arial"/>
                <w:color w:val="000000"/>
                <w:sz w:val="22"/>
                <w:szCs w:val="22"/>
              </w:rPr>
              <w:t>5</w:t>
            </w:r>
          </w:p>
        </w:tc>
      </w:tr>
      <w:tr w:rsidR="00E03E2A" w:rsidRPr="007D1E05">
        <w:trPr>
          <w:trHeight w:val="720"/>
        </w:trPr>
        <w:tc>
          <w:tcPr>
            <w:tcW w:w="2766" w:type="dxa"/>
            <w:vMerge/>
            <w:shd w:val="clear" w:color="auto" w:fill="DBE5F1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750" w:type="dxa"/>
            <w:vAlign w:val="center"/>
          </w:tcPr>
          <w:p w:rsidR="00E03E2A" w:rsidRPr="007D1E05" w:rsidRDefault="002D7D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E03E2A" w:rsidRPr="007D1E05" w:rsidRDefault="00E03E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  <w:tr w:rsidR="00E03E2A" w:rsidRPr="007D1E05">
        <w:trPr>
          <w:trHeight w:val="360"/>
        </w:trPr>
        <w:tc>
          <w:tcPr>
            <w:tcW w:w="2766" w:type="dxa"/>
            <w:vMerge/>
            <w:shd w:val="clear" w:color="auto" w:fill="DBE5F1"/>
            <w:vAlign w:val="center"/>
          </w:tcPr>
          <w:p w:rsidR="00E03E2A" w:rsidRPr="007D1E05" w:rsidRDefault="00E03E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E03E2A" w:rsidRPr="007D1E05" w:rsidRDefault="002D7D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Przygotowanie do Egzaminu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E03E2A" w:rsidRPr="007D1E05" w:rsidRDefault="00D0643F" w:rsidP="00D06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 Narrow" w:hAnsi="Arial" w:cs="Arial"/>
                <w:color w:val="000000"/>
                <w:sz w:val="22"/>
                <w:szCs w:val="22"/>
              </w:rPr>
              <w:t>5</w:t>
            </w:r>
          </w:p>
        </w:tc>
      </w:tr>
      <w:tr w:rsidR="00E03E2A" w:rsidRPr="007D1E05">
        <w:trPr>
          <w:trHeight w:val="360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E03E2A" w:rsidRPr="007D1E05" w:rsidRDefault="002D7D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E03E2A" w:rsidRPr="007D1E05" w:rsidRDefault="001E4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 Narrow" w:hAnsi="Arial" w:cs="Arial"/>
                <w:color w:val="000000"/>
                <w:sz w:val="22"/>
                <w:szCs w:val="22"/>
              </w:rPr>
              <w:t>50</w:t>
            </w:r>
          </w:p>
        </w:tc>
      </w:tr>
      <w:tr w:rsidR="00E03E2A" w:rsidRPr="007D1E05">
        <w:trPr>
          <w:trHeight w:val="380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E03E2A" w:rsidRPr="007D1E05" w:rsidRDefault="002D7D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E03E2A" w:rsidRPr="007D1E05" w:rsidRDefault="002D7D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7D1E05">
              <w:rPr>
                <w:rFonts w:ascii="Arial" w:eastAsia="Arial Narrow" w:hAnsi="Arial" w:cs="Arial"/>
                <w:color w:val="000000"/>
                <w:sz w:val="22"/>
                <w:szCs w:val="22"/>
              </w:rPr>
              <w:t>2</w:t>
            </w:r>
          </w:p>
        </w:tc>
      </w:tr>
    </w:tbl>
    <w:p w:rsidR="00E03E2A" w:rsidRPr="007D1E05" w:rsidRDefault="00E03E2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 Narrow" w:hAnsi="Arial" w:cs="Arial"/>
          <w:color w:val="000000"/>
          <w:sz w:val="22"/>
          <w:szCs w:val="22"/>
        </w:rPr>
      </w:pPr>
      <w:bookmarkStart w:id="0" w:name="_GoBack"/>
      <w:bookmarkEnd w:id="0"/>
    </w:p>
    <w:sectPr w:rsidR="00E03E2A" w:rsidRPr="007D1E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276" w:right="1134" w:bottom="1134" w:left="1134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279" w:rsidRDefault="004C1279">
      <w:r>
        <w:separator/>
      </w:r>
    </w:p>
  </w:endnote>
  <w:endnote w:type="continuationSeparator" w:id="0">
    <w:p w:rsidR="004C1279" w:rsidRDefault="004C1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E2A" w:rsidRDefault="00E03E2A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E2A" w:rsidRDefault="002D7DE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4C1279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:rsidR="00E03E2A" w:rsidRDefault="00E03E2A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E2A" w:rsidRDefault="00E03E2A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279" w:rsidRDefault="004C1279">
      <w:r>
        <w:separator/>
      </w:r>
    </w:p>
  </w:footnote>
  <w:footnote w:type="continuationSeparator" w:id="0">
    <w:p w:rsidR="004C1279" w:rsidRDefault="004C1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E2A" w:rsidRDefault="00E03E2A">
    <w:pPr>
      <w:keepNext/>
      <w:widowControl w:val="0"/>
      <w:pBdr>
        <w:top w:val="nil"/>
        <w:left w:val="nil"/>
        <w:bottom w:val="nil"/>
        <w:right w:val="nil"/>
        <w:between w:val="nil"/>
      </w:pBdr>
      <w:spacing w:before="240" w:after="120"/>
      <w:rPr>
        <w:rFonts w:ascii="Arial" w:eastAsia="Arial" w:hAnsi="Arial" w:cs="Arial"/>
        <w:color w:val="000000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E2A" w:rsidRDefault="00E03E2A">
    <w:pPr>
      <w:keepNext/>
      <w:widowControl w:val="0"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E2A" w:rsidRDefault="00E03E2A">
    <w:pPr>
      <w:keepNext/>
      <w:widowControl w:val="0"/>
      <w:pBdr>
        <w:top w:val="nil"/>
        <w:left w:val="nil"/>
        <w:bottom w:val="nil"/>
        <w:right w:val="nil"/>
        <w:between w:val="nil"/>
      </w:pBdr>
      <w:spacing w:before="240" w:after="120"/>
      <w:rPr>
        <w:rFonts w:ascii="Arial" w:eastAsia="Arial" w:hAnsi="Arial" w:cs="Arial"/>
        <w:color w:val="00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870E0"/>
    <w:multiLevelType w:val="hybridMultilevel"/>
    <w:tmpl w:val="20DA908A"/>
    <w:lvl w:ilvl="0" w:tplc="18A609AA">
      <w:start w:val="1"/>
      <w:numFmt w:val="decimal"/>
      <w:lvlText w:val="%1."/>
      <w:lvlJc w:val="left"/>
      <w:pPr>
        <w:ind w:left="785" w:hanging="360"/>
      </w:pPr>
      <w:rPr>
        <w:rFonts w:ascii="Arial" w:hAnsi="Arial" w:cs="Arial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5AEA0770"/>
    <w:multiLevelType w:val="multilevel"/>
    <w:tmpl w:val="EB5A5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E2A"/>
    <w:rsid w:val="0011130E"/>
    <w:rsid w:val="001E484A"/>
    <w:rsid w:val="001F3F47"/>
    <w:rsid w:val="00227304"/>
    <w:rsid w:val="0026312C"/>
    <w:rsid w:val="002D7DE1"/>
    <w:rsid w:val="00366CE7"/>
    <w:rsid w:val="004A5B89"/>
    <w:rsid w:val="004C1279"/>
    <w:rsid w:val="005A017D"/>
    <w:rsid w:val="006A7830"/>
    <w:rsid w:val="006D400B"/>
    <w:rsid w:val="00722762"/>
    <w:rsid w:val="0075758C"/>
    <w:rsid w:val="007D1E05"/>
    <w:rsid w:val="00AE6AC0"/>
    <w:rsid w:val="00B73B04"/>
    <w:rsid w:val="00BA3C03"/>
    <w:rsid w:val="00C72BA0"/>
    <w:rsid w:val="00D0643F"/>
    <w:rsid w:val="00D94021"/>
    <w:rsid w:val="00E03E2A"/>
    <w:rsid w:val="00E354D2"/>
    <w:rsid w:val="00E61FC9"/>
    <w:rsid w:val="00F20F50"/>
    <w:rsid w:val="00F5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ECA59"/>
  <w15:docId w15:val="{C0E1CAB9-ACC4-41AD-9088-A6ACB9C1E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7D1E05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D400B"/>
    <w:pPr>
      <w:ind w:left="720"/>
      <w:contextualSpacing/>
    </w:pPr>
  </w:style>
  <w:style w:type="paragraph" w:customStyle="1" w:styleId="Zawartotabeli">
    <w:name w:val="Zawartość tabeli"/>
    <w:basedOn w:val="Normalny"/>
    <w:rsid w:val="00E354D2"/>
    <w:pPr>
      <w:widowControl w:val="0"/>
      <w:suppressLineNumbers/>
      <w:suppressAutoHyphens/>
      <w:autoSpaceDE w:val="0"/>
    </w:pPr>
    <w:rPr>
      <w:sz w:val="24"/>
      <w:szCs w:val="24"/>
    </w:rPr>
  </w:style>
  <w:style w:type="character" w:styleId="Hipercze">
    <w:name w:val="Hyperlink"/>
    <w:rsid w:val="00D064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7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mailto:rafal.solewski@up.krakow.pl" TargetMode="Externa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4707A9-AC96-4645-B502-ADDA4122E09D}"/>
</file>

<file path=customXml/itemProps2.xml><?xml version="1.0" encoding="utf-8"?>
<ds:datastoreItem xmlns:ds="http://schemas.openxmlformats.org/officeDocument/2006/customXml" ds:itemID="{C2D91617-3481-4C7E-8B71-F42FAC8F7F77}"/>
</file>

<file path=customXml/itemProps3.xml><?xml version="1.0" encoding="utf-8"?>
<ds:datastoreItem xmlns:ds="http://schemas.openxmlformats.org/officeDocument/2006/customXml" ds:itemID="{B588238F-0392-4F3B-8169-127EA7F5F2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990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Siatka</dc:creator>
  <cp:lastModifiedBy>user</cp:lastModifiedBy>
  <cp:revision>4</cp:revision>
  <dcterms:created xsi:type="dcterms:W3CDTF">2022-11-02T08:29:00Z</dcterms:created>
  <dcterms:modified xsi:type="dcterms:W3CDTF">2022-11-02T08:35:00Z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0x01010037DE5F0D31560A47BFA41570CCF60F47</vt:lpwstr>
  </property>
</Properties>
</file>