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644" w:rsidRPr="008F2644" w:rsidRDefault="008F2644" w:rsidP="008F2644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F2644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8F2644" w:rsidRDefault="008F2644" w:rsidP="00F3773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F37739" w:rsidRPr="00F37739" w:rsidRDefault="00F37739" w:rsidP="00F3773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F37739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F37739">
        <w:rPr>
          <w:rFonts w:eastAsia="Times New Roman" w:cstheme="minorHAnsi"/>
          <w:b/>
          <w:sz w:val="24"/>
          <w:lang w:eastAsia="pl-PL"/>
        </w:rPr>
        <w:t xml:space="preserve">Prawo autorskie </w:t>
      </w:r>
      <w:r w:rsidR="009E5B60">
        <w:rPr>
          <w:rFonts w:eastAsia="Times New Roman" w:cstheme="minorHAnsi"/>
          <w:b/>
          <w:sz w:val="24"/>
          <w:lang w:eastAsia="pl-PL"/>
        </w:rPr>
        <w:t>w działalności twórczej</w:t>
      </w: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F37739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F37739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F37739">
        <w:rPr>
          <w:rFonts w:eastAsia="Times New Roman" w:cstheme="minorHAnsi"/>
          <w:sz w:val="24"/>
          <w:lang w:eastAsia="pl-PL"/>
        </w:rPr>
        <w:t>)</w:t>
      </w: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F37739">
        <w:rPr>
          <w:rFonts w:eastAsia="Times New Roman" w:cstheme="minorHAnsi"/>
          <w:sz w:val="24"/>
          <w:lang w:eastAsia="pl-PL"/>
        </w:rPr>
        <w:t>Studia stacjonarne I stopnia, II rok, III semestr</w:t>
      </w:r>
    </w:p>
    <w:p w:rsidR="00F37739" w:rsidRPr="00F37739" w:rsidRDefault="00F37739" w:rsidP="00F37739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F37739" w:rsidRPr="00F37739" w:rsidTr="0010113F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  <w:color w:val="000000"/>
              </w:rPr>
              <w:t>Prawo autorskie i ochrona własności intelektualnej</w:t>
            </w:r>
          </w:p>
        </w:tc>
      </w:tr>
      <w:tr w:rsidR="00F37739" w:rsidRPr="00F37739" w:rsidTr="0010113F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F37739">
              <w:rPr>
                <w:rStyle w:val="markedcontent"/>
                <w:rFonts w:cstheme="minorHAnsi"/>
                <w:lang w:val="en-US"/>
              </w:rPr>
              <w:t>Copyright law and intellectual property protection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F37739" w:rsidRPr="00F37739" w:rsidTr="0010113F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</w:rPr>
              <w:t>Zespół dydaktyczny Instytut Nauk o Polityce i Administracji UP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F37739" w:rsidRPr="00F37739" w:rsidTr="0010113F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1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37739" w:rsidRPr="00F37739" w:rsidTr="0010113F">
        <w:trPr>
          <w:trHeight w:val="219"/>
        </w:trPr>
        <w:tc>
          <w:tcPr>
            <w:tcW w:w="9640" w:type="dxa"/>
          </w:tcPr>
          <w:p w:rsidR="00F37739" w:rsidRPr="00F37739" w:rsidRDefault="00F37739" w:rsidP="009E5B6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</w:rPr>
              <w:t xml:space="preserve">Celem kursu jest zapoznanie studentów z </w:t>
            </w:r>
            <w:r w:rsidR="009E5B60">
              <w:rPr>
                <w:rFonts w:eastAsia="Arial" w:cstheme="minorHAnsi"/>
              </w:rPr>
              <w:t>wiedzą</w:t>
            </w:r>
            <w:r w:rsidRPr="00F37739">
              <w:rPr>
                <w:rFonts w:eastAsia="Arial" w:cstheme="minorHAnsi"/>
              </w:rPr>
              <w:t xml:space="preserve"> na temat prawa autorskiego i praw pokrewnych, przysługujących twórcy autorskich praw osobistych i majątkowych, oraz prawa własności przemysłowej. Student zyskuje także wiedzę na temat konsekwencji prawnych naruszenia praw autorskich. Celem jest również uświadomienie słuchaczom etycznego wymiaru przedmiotowego zagadnienia, a także potrzeby przeciwdziałania wszelkim </w:t>
            </w:r>
            <w:proofErr w:type="spellStart"/>
            <w:r w:rsidRPr="00F37739">
              <w:rPr>
                <w:rFonts w:eastAsia="Arial" w:cstheme="minorHAnsi"/>
              </w:rPr>
              <w:t>zachowaniom</w:t>
            </w:r>
            <w:proofErr w:type="spellEnd"/>
            <w:r w:rsidRPr="00F37739">
              <w:rPr>
                <w:rFonts w:eastAsia="Arial" w:cstheme="minorHAnsi"/>
              </w:rPr>
              <w:t xml:space="preserve"> noszącym znamiona naruszenie własności intelektualnej, w tym w szczególności plagiatom.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37739" w:rsidRPr="00F37739" w:rsidTr="0010113F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</w:rPr>
              <w:t>Wiedza o społeczeństwie (na poziomie kształcenia obowiązkowego).</w:t>
            </w:r>
          </w:p>
        </w:tc>
      </w:tr>
      <w:tr w:rsidR="00F37739" w:rsidRPr="00F37739" w:rsidTr="0010113F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F37739" w:rsidRPr="00F37739" w:rsidTr="0010113F">
        <w:tc>
          <w:tcPr>
            <w:tcW w:w="194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F37739" w:rsidRPr="00F37739" w:rsidTr="0010113F">
        <w:trPr>
          <w:cantSplit/>
          <w:trHeight w:val="574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F37739" w:rsidRPr="00F37739" w:rsidTr="0010113F">
        <w:trPr>
          <w:cantSplit/>
          <w:trHeight w:val="1205"/>
        </w:trPr>
        <w:tc>
          <w:tcPr>
            <w:tcW w:w="1768" w:type="dxa"/>
            <w:vMerge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>Po ukończeniu kursu osoba: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W 01 </w:t>
            </w:r>
            <w:r w:rsidRPr="00F37739">
              <w:rPr>
                <w:rFonts w:eastAsia="Arial" w:cstheme="minorHAnsi"/>
                <w:color w:val="000000"/>
              </w:rPr>
              <w:t>ma wiedzę o prawnych i ekonomicznych uwarunkowaniach funkcjonowania instytucji kulturalnych, a także o polityce kulturalnej organów państwowych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</w:rPr>
              <w:t xml:space="preserve">W 02 </w:t>
            </w:r>
            <w:r w:rsidRPr="00F37739">
              <w:rPr>
                <w:rFonts w:eastAsia="Arial" w:cstheme="minorHAnsi"/>
                <w:color w:val="000000"/>
              </w:rPr>
              <w:t>zna i rozumie zaawansowane pojęcia i zasady z zakresu ochrony własności przemysłowej i prawa autorskiego niezbędne w pracy kuratora i muzealnika</w:t>
            </w:r>
          </w:p>
        </w:tc>
        <w:tc>
          <w:tcPr>
            <w:tcW w:w="2202" w:type="dxa"/>
          </w:tcPr>
          <w:p w:rsidR="00F37739" w:rsidRDefault="00F37739" w:rsidP="00F37739">
            <w:pPr>
              <w:spacing w:after="0" w:line="240" w:lineRule="auto"/>
              <w:jc w:val="both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spacing w:after="0" w:line="240" w:lineRule="auto"/>
              <w:jc w:val="both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_W12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_W17</w:t>
            </w:r>
          </w:p>
        </w:tc>
      </w:tr>
      <w:tr w:rsidR="00F37739" w:rsidRPr="00F37739" w:rsidTr="0010113F">
        <w:trPr>
          <w:cantSplit/>
          <w:trHeight w:val="51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F37739" w:rsidRPr="00F37739" w:rsidTr="0010113F">
        <w:trPr>
          <w:cantSplit/>
          <w:trHeight w:val="475"/>
        </w:trPr>
        <w:tc>
          <w:tcPr>
            <w:tcW w:w="1768" w:type="dxa"/>
            <w:vMerge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>Po ukończeniu kursu osoba: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  <w:color w:val="000000"/>
              </w:rPr>
              <w:t>U 01 potrafi zastosować przepisy prawa autorskiego w realizowanych przez siebie projektach i wykorzystuje je do ochrony dziedzictwa kulturowego</w:t>
            </w:r>
          </w:p>
          <w:p w:rsidR="00F37739" w:rsidRPr="00F37739" w:rsidRDefault="00F37739" w:rsidP="00F3773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  <w:color w:val="000000"/>
              </w:rPr>
              <w:t>U 02 ma umiejętność oceny procedur i praktyk stosowanych  w instytucjach kultury, mediach i obszarach promocji sztuki</w:t>
            </w:r>
          </w:p>
        </w:tc>
        <w:tc>
          <w:tcPr>
            <w:tcW w:w="2202" w:type="dxa"/>
          </w:tcPr>
          <w:p w:rsid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spacing w:after="0" w:line="240" w:lineRule="auto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_U12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spacing w:after="0" w:line="240" w:lineRule="auto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_U12</w:t>
            </w:r>
          </w:p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453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F37739" w:rsidRPr="00F37739" w:rsidTr="0010113F">
        <w:trPr>
          <w:cantSplit/>
          <w:trHeight w:val="462"/>
        </w:trPr>
        <w:tc>
          <w:tcPr>
            <w:tcW w:w="1768" w:type="dxa"/>
            <w:vMerge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>Po ukończeniu kursu osoba: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K 01 </w:t>
            </w:r>
            <w:r w:rsidRPr="00F37739">
              <w:rPr>
                <w:rFonts w:eastAsia="Arial" w:cstheme="minorHAnsi"/>
                <w:color w:val="000000"/>
              </w:rPr>
              <w:t>umie wykorzystać zdobytą wiedzę dotyczącą prawa własności intelektualnej i materialnej w kontekście etyki zawodowej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K 02 </w:t>
            </w:r>
            <w:r w:rsidRPr="00F37739">
              <w:rPr>
                <w:rFonts w:eastAsia="Arial" w:cstheme="minorHAnsi"/>
                <w:color w:val="000000"/>
              </w:rPr>
              <w:t xml:space="preserve">rozumie złożoność zawodu kuratora w kontekście prawnych </w:t>
            </w:r>
            <w:r w:rsidR="00AA5DBE">
              <w:rPr>
                <w:rFonts w:eastAsia="Arial" w:cstheme="minorHAnsi"/>
                <w:color w:val="000000"/>
              </w:rPr>
              <w:t xml:space="preserve">i etycznych </w:t>
            </w:r>
            <w:r w:rsidRPr="00F37739">
              <w:rPr>
                <w:rFonts w:eastAsia="Arial" w:cstheme="minorHAnsi"/>
                <w:color w:val="000000"/>
              </w:rPr>
              <w:t>uwarunkowań praktyki kuratorskiej</w:t>
            </w:r>
          </w:p>
        </w:tc>
        <w:tc>
          <w:tcPr>
            <w:tcW w:w="2202" w:type="dxa"/>
          </w:tcPr>
          <w:p w:rsid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spacing w:after="0" w:line="240" w:lineRule="auto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_K10</w:t>
            </w: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F37739" w:rsidP="00F37739">
            <w:pPr>
              <w:spacing w:after="0" w:line="240" w:lineRule="auto"/>
              <w:rPr>
                <w:rFonts w:eastAsia="Arial" w:cstheme="minorHAnsi"/>
              </w:rPr>
            </w:pPr>
          </w:p>
          <w:p w:rsidR="00F37739" w:rsidRPr="00F37739" w:rsidRDefault="00AA5DBE" w:rsidP="00F37739">
            <w:pPr>
              <w:spacing w:after="0" w:line="240" w:lineRule="auto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K</w:t>
            </w:r>
            <w:r w:rsidR="00F37739" w:rsidRPr="00F37739">
              <w:rPr>
                <w:rFonts w:eastAsia="Arial" w:cstheme="minorHAnsi"/>
              </w:rPr>
              <w:t>_K08</w:t>
            </w:r>
            <w:r>
              <w:rPr>
                <w:rFonts w:eastAsia="Arial" w:cstheme="minorHAnsi"/>
              </w:rPr>
              <w:t>, K_K05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F37739" w:rsidRPr="00F37739" w:rsidTr="0010113F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F37739" w:rsidRPr="00F37739" w:rsidTr="0010113F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Wykład</w:t>
            </w:r>
          </w:p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F37739" w:rsidRPr="00F37739" w:rsidTr="0010113F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F37739" w:rsidRPr="00F37739" w:rsidRDefault="00F37739" w:rsidP="00F3773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37739" w:rsidRPr="00F37739" w:rsidTr="0010113F">
        <w:trPr>
          <w:trHeight w:val="297"/>
        </w:trPr>
        <w:tc>
          <w:tcPr>
            <w:tcW w:w="9622" w:type="dxa"/>
          </w:tcPr>
          <w:p w:rsidR="00F37739" w:rsidRPr="00F37739" w:rsidRDefault="00F37739" w:rsidP="00F3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Times New Roman" w:cstheme="minorHAnsi"/>
                <w:lang w:eastAsia="pl-PL"/>
              </w:rPr>
              <w:t>Wykład wspierany prezentacją multimedialną.</w:t>
            </w:r>
            <w:r w:rsidRPr="00F37739">
              <w:rPr>
                <w:rFonts w:eastAsia="Arial" w:cstheme="minorHAnsi"/>
                <w:color w:val="000000"/>
              </w:rPr>
              <w:t xml:space="preserve"> Lektura materiałów źródłowych. Dyskusja.</w:t>
            </w:r>
          </w:p>
        </w:tc>
      </w:tr>
    </w:tbl>
    <w:p w:rsidR="00F37739" w:rsidRPr="00F37739" w:rsidRDefault="00F37739" w:rsidP="00F3773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F37739" w:rsidRPr="00F37739" w:rsidTr="0010113F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Test zaliczeniowy</w:t>
            </w:r>
          </w:p>
        </w:tc>
      </w:tr>
      <w:tr w:rsidR="00F37739" w:rsidRPr="00F37739" w:rsidTr="0010113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F37739" w:rsidRPr="00F37739" w:rsidTr="0010113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F37739" w:rsidRPr="00F37739" w:rsidRDefault="00F37739" w:rsidP="00F3773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37739" w:rsidRPr="00F37739" w:rsidTr="0010113F">
        <w:tc>
          <w:tcPr>
            <w:tcW w:w="194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Zaliczenie kursu przedmiotu na podstawie obecności, aktywnego udziału w zajęciach, znajomości materiałów źródłowych do dyskusji, pozytywne zaliczenie oceny pracy pisemnej.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37739" w:rsidRPr="00F37739" w:rsidTr="0010113F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F37739" w:rsidRPr="00F37739" w:rsidRDefault="00F37739" w:rsidP="00F3773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F37739" w:rsidRPr="00F37739" w:rsidTr="0010113F">
        <w:trPr>
          <w:trHeight w:val="1445"/>
        </w:trPr>
        <w:tc>
          <w:tcPr>
            <w:tcW w:w="9706" w:type="dxa"/>
          </w:tcPr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Zagadnienia wstępne. Pojęcie dobra osobistego i prawa osobistego. Pojęcie własności intelektualnej. Cechy własności intelektualnej i praw własności intelektualnej. Źródła prawa.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Wolność wypowiedzi twórczej (w tym artystycznej) a ochrona dóbr osobistych – w szczególności czci, prywatności, wizerunku. Przesłanki naruszenia dobra osobistego. Umowy dotyczące dóbr osobistych.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Wolność wypowiedzi twórczej (w tym artystycznej) a uregulowania karne.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 xml:space="preserve">Prawo autorskie. Zasady ochrony </w:t>
            </w:r>
            <w:proofErr w:type="spellStart"/>
            <w:r w:rsidRPr="00F37739">
              <w:rPr>
                <w:rFonts w:eastAsia="Arial" w:cstheme="minorHAnsi"/>
                <w:color w:val="000000"/>
              </w:rPr>
              <w:t>prawnoautorskiej</w:t>
            </w:r>
            <w:proofErr w:type="spellEnd"/>
            <w:r w:rsidRPr="00F37739">
              <w:rPr>
                <w:rFonts w:eastAsia="Arial" w:cstheme="minorHAnsi"/>
                <w:color w:val="000000"/>
              </w:rPr>
              <w:t>. Źródła prawa.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Przedmiot prawa autorskiego – pojęcie utworu, ustalenie i utrwalenie utworu. Utwór a egzemplarz utworu.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Podmiot praw autorskich, współtwórczość, utwory łączne i zbiorowe.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lastRenderedPageBreak/>
              <w:t>Autorskie prawa osobiste.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Autorskie prawa majątkowe (pojęcie pola eksploatacji, wyczerpania prawa).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Ograniczenia autorskich praw majątkowych – dozwolony użytek osobisty oraz dozwolony użytek publiczny, prawo cytatu. Wystawienie egzemplarza utworu plastycznego.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Roszczenia służące ochronie autorskich praw osobistych oraz autorskich praw majątkowych.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Prawa pokrewne.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Umowy dotyczące praw autorskich – rodzaje umów, podstawowe zasady kontraktowe, analiza występujących w praktyce klauzul.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Organizacje zbiorowego zarządzania prawami autorskimi lub prawami pokrewnymi.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 xml:space="preserve">Prawo autorskie w </w:t>
            </w:r>
            <w:proofErr w:type="spellStart"/>
            <w:r w:rsidRPr="00F37739">
              <w:rPr>
                <w:rFonts w:eastAsia="Arial" w:cstheme="minorHAnsi"/>
                <w:color w:val="000000"/>
              </w:rPr>
              <w:t>internecie</w:t>
            </w:r>
            <w:proofErr w:type="spellEnd"/>
            <w:r w:rsidRPr="00F37739">
              <w:rPr>
                <w:rFonts w:eastAsia="Arial" w:cstheme="minorHAnsi"/>
                <w:color w:val="000000"/>
              </w:rPr>
              <w:t>. Digitalizacja a prawo autorskie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Prawo do wizerunku.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Ochrona korespondencji.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Prawo autorskie a ochrona dóbr osobistych – w szczególności czci, prywatności, wizerunku, danych osobowych.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Prawo własności przemysłowej i zwalczania nieuczciwej konkurencji. Zasady ochrony przedmiotów własności przemysłowej - ochrona prawami bezwzględnymi a ochrona na podstawie prawa zwalczania nieuczciwej konkurencji. Źródła prawa. Urząd Patentowy, rzecznik patentowy.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Przedmioty prawa własności przemysłowej:</w:t>
            </w:r>
            <w:r>
              <w:rPr>
                <w:rFonts w:eastAsia="Arial" w:cstheme="minorHAnsi"/>
                <w:color w:val="000000"/>
              </w:rPr>
              <w:t xml:space="preserve"> </w:t>
            </w:r>
            <w:r w:rsidRPr="00F37739">
              <w:rPr>
                <w:rFonts w:eastAsia="Arial" w:cstheme="minorHAnsi"/>
                <w:color w:val="000000"/>
              </w:rPr>
              <w:t xml:space="preserve">wzór przemysłowy – pojęcie wzoru przemysłowego, przesłanki zdolności rejestrowej, prawo z rejestracji wzoru przemysłowego (procedura uzyskiwania, treść prawa, m.in. czas trwania prawa). Niezarejestrowany wzór wspólnotowy. </w:t>
            </w:r>
            <w:r>
              <w:rPr>
                <w:rFonts w:eastAsia="Arial" w:cstheme="minorHAnsi"/>
                <w:color w:val="000000"/>
              </w:rPr>
              <w:t>W</w:t>
            </w:r>
            <w:r w:rsidRPr="00F37739">
              <w:rPr>
                <w:rFonts w:eastAsia="Arial" w:cstheme="minorHAnsi"/>
                <w:color w:val="000000"/>
              </w:rPr>
              <w:t>zór użytkowy – pojęcie wzoru użytkowego, przesłanki zdolności rejestrowej wzoru użytkowego, prawo ochronne na wzór użytkowy (procedura uzyskiwania, treść prawa, m.in. czas trwania prawa).</w:t>
            </w:r>
            <w:r>
              <w:rPr>
                <w:rFonts w:eastAsia="Arial" w:cstheme="minorHAnsi"/>
                <w:color w:val="000000"/>
              </w:rPr>
              <w:t xml:space="preserve"> Z</w:t>
            </w:r>
            <w:r w:rsidRPr="00F37739">
              <w:rPr>
                <w:rFonts w:eastAsia="Arial" w:cstheme="minorHAnsi"/>
                <w:color w:val="000000"/>
              </w:rPr>
              <w:t xml:space="preserve">nak towarowy – pojęcie znaku towarowego, przesłanki zdolności rejestrowej znaku towarowego, funkcje i rodzaje znaków towarowych, prawo ochronne na znak towarowy (procedura uzyskiwania, treść prawa, m.in. czas trwania prawa). Znak towarowy wspólnoty. Znak towarowy powszechnie znany i renomowany. Podobieństwo znaków towarowych, konfuzja i skojarzenie pomiędzy znakami. 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Obrót prawami własności przemysłowej. Umowy o przeniesienie prawa oraz umowy licencyjne. Wyczerpanie prawa.</w:t>
            </w:r>
          </w:p>
          <w:p w:rsidR="00F37739" w:rsidRPr="00F37739" w:rsidRDefault="00F37739" w:rsidP="00F37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Arial" w:cstheme="minorHAnsi"/>
                <w:color w:val="000000"/>
              </w:rPr>
            </w:pPr>
            <w:r w:rsidRPr="00F37739">
              <w:rPr>
                <w:rFonts w:eastAsia="Arial" w:cstheme="minorHAnsi"/>
                <w:color w:val="000000"/>
              </w:rPr>
              <w:t>Środki ochrony praw własności przemysłowej. Roszczenia oraz tryb ich dochodzenia. Zabezpieczenie roszczeń.</w:t>
            </w:r>
          </w:p>
          <w:p w:rsidR="00F37739" w:rsidRPr="00F37739" w:rsidRDefault="00F37739" w:rsidP="00F377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F37739">
              <w:rPr>
                <w:rFonts w:eastAsia="Arial" w:cstheme="minorHAnsi"/>
                <w:color w:val="000000"/>
              </w:rPr>
              <w:t>Wolność wypowiedzi twórczej (w tym artystycznej) a prawa własności przemysłowej, w szczególności prawo ochronne na znak towarowy.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37739" w:rsidRPr="00F37739" w:rsidTr="0010113F">
        <w:trPr>
          <w:trHeight w:val="569"/>
        </w:trPr>
        <w:tc>
          <w:tcPr>
            <w:tcW w:w="9622" w:type="dxa"/>
          </w:tcPr>
          <w:p w:rsidR="00F37739" w:rsidRPr="00F37739" w:rsidRDefault="00F37739" w:rsidP="00F37739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Janusz Barta, Ryszard Markiewicz, </w:t>
            </w:r>
            <w:r w:rsidRPr="00F37739">
              <w:rPr>
                <w:rFonts w:eastAsia="Arial" w:cstheme="minorHAnsi"/>
                <w:i/>
              </w:rPr>
              <w:t>Prawo autorskie i prawa pokrewne. Przepisy z wprowadzeniem</w:t>
            </w:r>
            <w:r w:rsidRPr="00F37739">
              <w:rPr>
                <w:rFonts w:eastAsia="Arial" w:cstheme="minorHAnsi"/>
              </w:rPr>
              <w:t>, Warszawa 2017.</w:t>
            </w:r>
          </w:p>
          <w:p w:rsidR="00F37739" w:rsidRPr="00F37739" w:rsidRDefault="00F37739" w:rsidP="00F37739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Piotr Łada, </w:t>
            </w:r>
            <w:r w:rsidRPr="00F37739">
              <w:rPr>
                <w:rFonts w:eastAsia="Arial" w:cstheme="minorHAnsi"/>
                <w:i/>
              </w:rPr>
              <w:t>Sztuka a prawo autorskie. Wybrane zagadnienia,</w:t>
            </w:r>
            <w:r w:rsidRPr="00F37739">
              <w:rPr>
                <w:rFonts w:eastAsia="Arial" w:cstheme="minorHAnsi"/>
              </w:rPr>
              <w:t xml:space="preserve"> Warszawa 2014.</w:t>
            </w:r>
          </w:p>
          <w:p w:rsidR="00F37739" w:rsidRPr="00F37739" w:rsidRDefault="00F37739" w:rsidP="00F37739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Monika </w:t>
            </w:r>
            <w:proofErr w:type="spellStart"/>
            <w:r w:rsidRPr="00F37739">
              <w:rPr>
                <w:rFonts w:eastAsia="Arial" w:cstheme="minorHAnsi"/>
              </w:rPr>
              <w:t>Nowikowska</w:t>
            </w:r>
            <w:proofErr w:type="spellEnd"/>
            <w:r w:rsidRPr="00F37739">
              <w:rPr>
                <w:rFonts w:eastAsia="Arial" w:cstheme="minorHAnsi"/>
              </w:rPr>
              <w:t xml:space="preserve">, Magdalena Rutkowska-Sowa, Joanna </w:t>
            </w:r>
            <w:proofErr w:type="spellStart"/>
            <w:r w:rsidRPr="00F37739">
              <w:rPr>
                <w:rFonts w:eastAsia="Arial" w:cstheme="minorHAnsi"/>
              </w:rPr>
              <w:t>Sieńczyło-Chlabicz</w:t>
            </w:r>
            <w:proofErr w:type="spellEnd"/>
            <w:r w:rsidRPr="00F37739">
              <w:rPr>
                <w:rFonts w:eastAsia="Arial" w:cstheme="minorHAnsi"/>
              </w:rPr>
              <w:t xml:space="preserve"> (redaktor naukowy), Zofia Zawadzka, </w:t>
            </w:r>
            <w:r w:rsidRPr="00F37739">
              <w:rPr>
                <w:rFonts w:eastAsia="Arial" w:cstheme="minorHAnsi"/>
                <w:i/>
              </w:rPr>
              <w:t>Prawo własności intelektualnej</w:t>
            </w:r>
            <w:r w:rsidRPr="00F37739">
              <w:rPr>
                <w:rFonts w:eastAsia="Arial" w:cstheme="minorHAnsi"/>
              </w:rPr>
              <w:t>, Warszawa 2018.</w:t>
            </w:r>
          </w:p>
          <w:p w:rsidR="00F37739" w:rsidRPr="00F37739" w:rsidRDefault="00F37739" w:rsidP="00F37739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F37739">
              <w:rPr>
                <w:rFonts w:eastAsia="Arial" w:cstheme="minorHAnsi"/>
              </w:rPr>
              <w:t xml:space="preserve">Piotr Łada, </w:t>
            </w:r>
            <w:r w:rsidRPr="00F37739">
              <w:rPr>
                <w:rFonts w:eastAsia="Arial" w:cstheme="minorHAnsi"/>
                <w:i/>
              </w:rPr>
              <w:t>Prawo autorskie w muzeum</w:t>
            </w:r>
            <w:r w:rsidRPr="00F37739">
              <w:rPr>
                <w:rFonts w:eastAsia="Arial" w:cstheme="minorHAnsi"/>
              </w:rPr>
              <w:t>, Warszawa 2019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37739" w:rsidRPr="00F37739" w:rsidTr="0010113F">
        <w:trPr>
          <w:trHeight w:val="590"/>
        </w:trPr>
        <w:tc>
          <w:tcPr>
            <w:tcW w:w="9622" w:type="dxa"/>
          </w:tcPr>
          <w:p w:rsidR="00F37739" w:rsidRPr="00F37739" w:rsidRDefault="00F37739" w:rsidP="00F3773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Janusz Barta, Ryszard Markiewicz, </w:t>
            </w:r>
            <w:r w:rsidRPr="00F37739">
              <w:rPr>
                <w:rFonts w:eastAsia="Arial" w:cstheme="minorHAnsi"/>
                <w:i/>
              </w:rPr>
              <w:t>Prawo autorskie</w:t>
            </w:r>
            <w:r w:rsidRPr="00F37739">
              <w:rPr>
                <w:rFonts w:eastAsia="Arial" w:cstheme="minorHAnsi"/>
              </w:rPr>
              <w:t>, Warszawa 2016.</w:t>
            </w:r>
          </w:p>
          <w:p w:rsidR="00F37739" w:rsidRPr="00F37739" w:rsidRDefault="00F37739" w:rsidP="00F3773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Arial" w:cstheme="minorHAnsi"/>
              </w:rPr>
            </w:pPr>
            <w:r w:rsidRPr="00F37739">
              <w:rPr>
                <w:rFonts w:eastAsia="Arial" w:cstheme="minorHAnsi"/>
              </w:rPr>
              <w:t xml:space="preserve">Marcin Górski, </w:t>
            </w:r>
            <w:r w:rsidRPr="00F37739">
              <w:rPr>
                <w:rFonts w:eastAsia="Arial" w:cstheme="minorHAnsi"/>
                <w:i/>
              </w:rPr>
              <w:t>Swoboda wypowiedzi artystycznej. Standardy międzynarodowe i krajowe</w:t>
            </w:r>
            <w:r w:rsidRPr="00F37739">
              <w:rPr>
                <w:rFonts w:eastAsia="Arial" w:cstheme="minorHAnsi"/>
              </w:rPr>
              <w:t>, Warszawa 2019.</w:t>
            </w:r>
          </w:p>
          <w:p w:rsidR="00F37739" w:rsidRPr="00F37739" w:rsidRDefault="00F37739" w:rsidP="00F37739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eading=h.gjdgxs" w:colFirst="0" w:colLast="0"/>
            <w:bookmarkEnd w:id="0"/>
            <w:r w:rsidRPr="00F37739">
              <w:rPr>
                <w:rFonts w:eastAsia="Arial" w:cstheme="minorHAnsi"/>
                <w:i/>
              </w:rPr>
              <w:t>Prawo wobec kultury i sztuki</w:t>
            </w:r>
            <w:r w:rsidRPr="00F37739">
              <w:rPr>
                <w:rFonts w:eastAsia="Arial" w:cstheme="minorHAnsi"/>
              </w:rPr>
              <w:t>, Jacek Sobczak (redaktor naukowy), Katarzyna Chałubińska-</w:t>
            </w:r>
            <w:proofErr w:type="spellStart"/>
            <w:r w:rsidRPr="00F37739">
              <w:rPr>
                <w:rFonts w:eastAsia="Arial" w:cstheme="minorHAnsi"/>
              </w:rPr>
              <w:t>Jentkiewicz</w:t>
            </w:r>
            <w:proofErr w:type="spellEnd"/>
            <w:r w:rsidRPr="00F37739">
              <w:rPr>
                <w:rFonts w:eastAsia="Arial" w:cstheme="minorHAnsi"/>
              </w:rPr>
              <w:t xml:space="preserve"> (redaktor naukowy), Ksenia </w:t>
            </w:r>
            <w:proofErr w:type="spellStart"/>
            <w:r w:rsidRPr="00F37739">
              <w:rPr>
                <w:rFonts w:eastAsia="Arial" w:cstheme="minorHAnsi"/>
              </w:rPr>
              <w:t>Kakareko</w:t>
            </w:r>
            <w:proofErr w:type="spellEnd"/>
            <w:r w:rsidRPr="00F37739">
              <w:rPr>
                <w:rFonts w:eastAsia="Arial" w:cstheme="minorHAnsi"/>
              </w:rPr>
              <w:t xml:space="preserve"> (redaktor naukowy), Warszawa 2019.</w:t>
            </w:r>
          </w:p>
        </w:tc>
      </w:tr>
    </w:tbl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2D2061" w:rsidRDefault="002D2061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</w:p>
    <w:p w:rsidR="00F37739" w:rsidRPr="00F37739" w:rsidRDefault="00F37739" w:rsidP="00F3773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F37739">
        <w:rPr>
          <w:rFonts w:eastAsia="Times New Roman" w:cstheme="minorHAnsi"/>
          <w:b/>
          <w:lang w:eastAsia="pl-PL"/>
        </w:rPr>
        <w:lastRenderedPageBreak/>
        <w:t xml:space="preserve">Bilans godzinowy zgodny z CNPS (Całkowity </w:t>
      </w:r>
      <w:bookmarkStart w:id="1" w:name="_GoBack"/>
      <w:bookmarkEnd w:id="1"/>
      <w:r w:rsidRPr="00F37739">
        <w:rPr>
          <w:rFonts w:eastAsia="Times New Roman" w:cstheme="minorHAnsi"/>
          <w:b/>
          <w:lang w:eastAsia="pl-PL"/>
        </w:rPr>
        <w:t>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F37739" w:rsidRPr="00F37739" w:rsidTr="0010113F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15</w:t>
            </w:r>
          </w:p>
        </w:tc>
      </w:tr>
      <w:tr w:rsidR="00F37739" w:rsidRPr="00F37739" w:rsidTr="0010113F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0</w:t>
            </w:r>
          </w:p>
        </w:tc>
      </w:tr>
      <w:tr w:rsidR="00F37739" w:rsidRPr="00F37739" w:rsidTr="0010113F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F37739" w:rsidRPr="00F37739" w:rsidRDefault="00F37739" w:rsidP="00F37739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0</w:t>
            </w:r>
          </w:p>
        </w:tc>
      </w:tr>
      <w:tr w:rsidR="00F37739" w:rsidRPr="00F37739" w:rsidTr="0010113F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5</w:t>
            </w:r>
          </w:p>
        </w:tc>
      </w:tr>
      <w:tr w:rsidR="00F37739" w:rsidRPr="00F37739" w:rsidTr="0010113F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5</w:t>
            </w:r>
          </w:p>
        </w:tc>
      </w:tr>
      <w:tr w:rsidR="00F37739" w:rsidRPr="00F37739" w:rsidTr="0010113F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0</w:t>
            </w:r>
          </w:p>
        </w:tc>
      </w:tr>
      <w:tr w:rsidR="00F37739" w:rsidRPr="00F37739" w:rsidTr="0010113F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0</w:t>
            </w:r>
          </w:p>
        </w:tc>
      </w:tr>
      <w:tr w:rsidR="00F37739" w:rsidRPr="00F37739" w:rsidTr="0010113F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25</w:t>
            </w:r>
          </w:p>
        </w:tc>
      </w:tr>
      <w:tr w:rsidR="00F37739" w:rsidRPr="00F37739" w:rsidTr="0010113F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F37739" w:rsidRPr="00F37739" w:rsidRDefault="00F37739" w:rsidP="00F3773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F37739">
              <w:rPr>
                <w:rFonts w:eastAsia="Calibri" w:cstheme="minorHAnsi"/>
              </w:rPr>
              <w:t>1</w:t>
            </w:r>
          </w:p>
        </w:tc>
      </w:tr>
    </w:tbl>
    <w:p w:rsidR="009E304D" w:rsidRPr="00F37739" w:rsidRDefault="009E304D" w:rsidP="00F37739">
      <w:pPr>
        <w:spacing w:after="0" w:line="240" w:lineRule="auto"/>
        <w:rPr>
          <w:rFonts w:cstheme="minorHAnsi"/>
        </w:rPr>
      </w:pPr>
    </w:p>
    <w:sectPr w:rsidR="009E304D" w:rsidRPr="00F37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8D7" w:rsidRDefault="001A18D7">
      <w:pPr>
        <w:spacing w:after="0" w:line="240" w:lineRule="auto"/>
      </w:pPr>
      <w:r>
        <w:separator/>
      </w:r>
    </w:p>
  </w:endnote>
  <w:endnote w:type="continuationSeparator" w:id="0">
    <w:p w:rsidR="001A18D7" w:rsidRDefault="001A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A18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A5DB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F2644">
      <w:rPr>
        <w:noProof/>
      </w:rPr>
      <w:t>4</w:t>
    </w:r>
    <w:r>
      <w:fldChar w:fldCharType="end"/>
    </w:r>
  </w:p>
  <w:p w:rsidR="00100C71" w:rsidRDefault="001A18D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A18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8D7" w:rsidRDefault="001A18D7">
      <w:pPr>
        <w:spacing w:after="0" w:line="240" w:lineRule="auto"/>
      </w:pPr>
      <w:r>
        <w:separator/>
      </w:r>
    </w:p>
  </w:footnote>
  <w:footnote w:type="continuationSeparator" w:id="0">
    <w:p w:rsidR="001A18D7" w:rsidRDefault="001A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A18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A18D7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A18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4FA"/>
    <w:multiLevelType w:val="hybridMultilevel"/>
    <w:tmpl w:val="4C2EE6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615CD"/>
    <w:multiLevelType w:val="hybridMultilevel"/>
    <w:tmpl w:val="26E226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3105A8"/>
    <w:multiLevelType w:val="hybridMultilevel"/>
    <w:tmpl w:val="37D07E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8E3763"/>
    <w:multiLevelType w:val="hybridMultilevel"/>
    <w:tmpl w:val="0414F3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5D78C3"/>
    <w:multiLevelType w:val="hybridMultilevel"/>
    <w:tmpl w:val="34702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066F9"/>
    <w:multiLevelType w:val="multilevel"/>
    <w:tmpl w:val="51547138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D5B59"/>
    <w:multiLevelType w:val="hybridMultilevel"/>
    <w:tmpl w:val="3E2C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92A2E"/>
    <w:multiLevelType w:val="multilevel"/>
    <w:tmpl w:val="AB4035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A6A19"/>
    <w:multiLevelType w:val="hybridMultilevel"/>
    <w:tmpl w:val="1F4269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739"/>
    <w:rsid w:val="001A18D7"/>
    <w:rsid w:val="002D2061"/>
    <w:rsid w:val="003F7D21"/>
    <w:rsid w:val="008F2644"/>
    <w:rsid w:val="009E304D"/>
    <w:rsid w:val="009E5B60"/>
    <w:rsid w:val="00AA5DBE"/>
    <w:rsid w:val="00D46210"/>
    <w:rsid w:val="00F3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CE37D-2934-4B26-98DF-3EE90580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77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37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7739"/>
  </w:style>
  <w:style w:type="paragraph" w:styleId="Stopka">
    <w:name w:val="footer"/>
    <w:basedOn w:val="Normalny"/>
    <w:link w:val="StopkaZnak"/>
    <w:uiPriority w:val="99"/>
    <w:semiHidden/>
    <w:unhideWhenUsed/>
    <w:rsid w:val="00F37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37739"/>
  </w:style>
  <w:style w:type="paragraph" w:styleId="Akapitzlist">
    <w:name w:val="List Paragraph"/>
    <w:basedOn w:val="Normalny"/>
    <w:uiPriority w:val="34"/>
    <w:qFormat/>
    <w:rsid w:val="00F37739"/>
    <w:pPr>
      <w:ind w:left="720"/>
      <w:contextualSpacing/>
    </w:pPr>
  </w:style>
  <w:style w:type="character" w:customStyle="1" w:styleId="markedcontent">
    <w:name w:val="markedcontent"/>
    <w:basedOn w:val="Domylnaczcionkaakapitu"/>
    <w:rsid w:val="00F37739"/>
  </w:style>
  <w:style w:type="paragraph" w:customStyle="1" w:styleId="Podpis1">
    <w:name w:val="Podpis1"/>
    <w:basedOn w:val="Normalny"/>
    <w:rsid w:val="00F37739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2023-02-09T20:14:00Z</cp:lastPrinted>
  <dcterms:created xsi:type="dcterms:W3CDTF">2023-02-09T18:35:00Z</dcterms:created>
  <dcterms:modified xsi:type="dcterms:W3CDTF">2023-03-27T19:57:00Z</dcterms:modified>
</cp:coreProperties>
</file>