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C6E" w:rsidRPr="00E17C6E" w:rsidRDefault="00E17C6E" w:rsidP="00E17C6E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E17C6E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E17C6E" w:rsidRDefault="00E17C6E" w:rsidP="004517B6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bookmarkStart w:id="0" w:name="_GoBack"/>
      <w:bookmarkEnd w:id="0"/>
    </w:p>
    <w:p w:rsidR="00511A80" w:rsidRPr="004517B6" w:rsidRDefault="00511A80" w:rsidP="004517B6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4517B6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4517B6">
        <w:rPr>
          <w:rFonts w:eastAsia="Times New Roman" w:cstheme="minorHAnsi"/>
          <w:b/>
          <w:sz w:val="24"/>
          <w:lang w:eastAsia="pl-PL"/>
        </w:rPr>
        <w:t>Wystawiennictwo</w:t>
      </w:r>
    </w:p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4517B6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4517B6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4517B6">
        <w:rPr>
          <w:rFonts w:eastAsia="Times New Roman" w:cstheme="minorHAnsi"/>
          <w:sz w:val="24"/>
          <w:lang w:eastAsia="pl-PL"/>
        </w:rPr>
        <w:t>)</w:t>
      </w:r>
    </w:p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4517B6">
        <w:rPr>
          <w:rFonts w:eastAsia="Times New Roman" w:cstheme="minorHAnsi"/>
          <w:sz w:val="24"/>
          <w:lang w:eastAsia="pl-PL"/>
        </w:rPr>
        <w:t>Studia stacjonarne I stopnia, II rok, IV semestr</w:t>
      </w:r>
    </w:p>
    <w:p w:rsidR="00511A80" w:rsidRPr="004517B6" w:rsidRDefault="00511A80" w:rsidP="004517B6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511A80" w:rsidRPr="004517B6" w:rsidTr="00E45F6F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Wystawiennictwo</w:t>
            </w:r>
          </w:p>
        </w:tc>
      </w:tr>
      <w:tr w:rsidR="00511A80" w:rsidRPr="004517B6" w:rsidTr="00E45F6F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4517B6">
              <w:rPr>
                <w:rFonts w:cstheme="minorHAnsi"/>
              </w:rPr>
              <w:t xml:space="preserve">Art </w:t>
            </w:r>
            <w:proofErr w:type="spellStart"/>
            <w:r w:rsidRPr="004517B6">
              <w:rPr>
                <w:rFonts w:cstheme="minorHAnsi"/>
              </w:rPr>
              <w:t>Exhibition</w:t>
            </w:r>
            <w:proofErr w:type="spellEnd"/>
          </w:p>
        </w:tc>
      </w:tr>
    </w:tbl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511A80" w:rsidRPr="004517B6" w:rsidTr="00E45F6F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511A80" w:rsidRPr="004517B6" w:rsidRDefault="00511A80" w:rsidP="004517B6">
            <w:pPr>
              <w:spacing w:after="0" w:line="240" w:lineRule="auto"/>
              <w:ind w:left="853" w:right="858"/>
              <w:jc w:val="center"/>
              <w:rPr>
                <w:rFonts w:cstheme="minorHAnsi"/>
              </w:rPr>
            </w:pPr>
            <w:r w:rsidRPr="004517B6">
              <w:rPr>
                <w:rFonts w:cstheme="minorHAnsi"/>
              </w:rPr>
              <w:t xml:space="preserve">Dr Łukasz Białkowski </w:t>
            </w:r>
          </w:p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cstheme="minorHAnsi"/>
              </w:rPr>
              <w:t>Dr Małgorzata Kaźmierczak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cstheme="minorHAnsi"/>
              </w:rPr>
              <w:t>Mgr Mateusz Okoński</w:t>
            </w:r>
          </w:p>
        </w:tc>
      </w:tr>
    </w:tbl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511A80" w:rsidRPr="004517B6" w:rsidTr="00E45F6F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3</w:t>
            </w:r>
          </w:p>
        </w:tc>
      </w:tr>
    </w:tbl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517B6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11A80" w:rsidRPr="004517B6" w:rsidTr="00511A80">
        <w:trPr>
          <w:trHeight w:val="2606"/>
        </w:trPr>
        <w:tc>
          <w:tcPr>
            <w:tcW w:w="9640" w:type="dxa"/>
          </w:tcPr>
          <w:p w:rsidR="00511A80" w:rsidRPr="004517B6" w:rsidRDefault="00511A80" w:rsidP="004517B6">
            <w:pPr>
              <w:spacing w:after="0" w:line="240" w:lineRule="auto"/>
              <w:rPr>
                <w:rFonts w:cstheme="minorHAnsi"/>
              </w:rPr>
            </w:pPr>
            <w:r w:rsidRPr="004517B6">
              <w:rPr>
                <w:rFonts w:cstheme="minorHAnsi"/>
              </w:rPr>
              <w:t xml:space="preserve">Kurs przygotowuje studentów do samodzielnego tworzenia strategii wystawienniczych oraz świadomego operowania medium ekspozycji. Studenci poznają problematykę wystawy i wystawiania, a także metody wystawiennicze. Uczą się, jak napisać scenariusz wystawy, teksty do wystaw, prosty budżet, plan organizacyjny oraz jak zbudować zespół projektowy. Poznają specyfikę projektowania wystaw i różnorodność wymogów organizacyjnych związanych z tematem, rodzajem eksponatów lub miejscem ekspozycji. W ramach kursu poznają historię wystawiennictwa, w tym przełomowe wystawy XX wieku. Studenci uczą się, jak stworzyć spójną narrację, jak budować atmosferę i jak wykorzystywać przestrzeń wystawienniczą do opowiadania historii. Kurs uczy również myślenia o wystawiennictwie w sensie projektowania doświadczeń. W ramach kursu studenci zmierzą się również z problemami ekspozycyjnymi, jak na przykład dostępność oraz zagrożeniami, jak upolitycznienie. </w:t>
            </w:r>
          </w:p>
        </w:tc>
      </w:tr>
    </w:tbl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517B6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511A80" w:rsidRPr="004517B6" w:rsidTr="00E45F6F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cstheme="minorHAnsi"/>
              </w:rPr>
              <w:t>Podstawowa wiedza z zakresu historii</w:t>
            </w:r>
            <w:r w:rsidR="004517B6">
              <w:rPr>
                <w:rFonts w:cstheme="minorHAnsi"/>
              </w:rPr>
              <w:t xml:space="preserve"> sztuki.</w:t>
            </w:r>
          </w:p>
        </w:tc>
      </w:tr>
      <w:tr w:rsidR="00511A80" w:rsidRPr="004517B6" w:rsidTr="00E45F6F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cstheme="minorHAnsi"/>
              </w:rPr>
              <w:t xml:space="preserve">Podstawowa znajomość programów Microsoft Word i </w:t>
            </w:r>
            <w:proofErr w:type="spellStart"/>
            <w:r w:rsidRPr="004517B6">
              <w:rPr>
                <w:rFonts w:cstheme="minorHAnsi"/>
              </w:rPr>
              <w:t>Excell</w:t>
            </w:r>
            <w:proofErr w:type="spellEnd"/>
            <w:r w:rsidRPr="004517B6">
              <w:rPr>
                <w:rFonts w:cstheme="minorHAnsi"/>
              </w:rPr>
              <w:t>, podstawowa znajomość języka angielskiego.</w:t>
            </w:r>
          </w:p>
        </w:tc>
      </w:tr>
      <w:tr w:rsidR="00511A80" w:rsidRPr="004517B6" w:rsidTr="00E45F6F">
        <w:tc>
          <w:tcPr>
            <w:tcW w:w="1941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517B6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5529"/>
        <w:gridCol w:w="2268"/>
      </w:tblGrid>
      <w:tr w:rsidR="00511A80" w:rsidRPr="004517B6" w:rsidTr="00E45F6F">
        <w:trPr>
          <w:cantSplit/>
          <w:trHeight w:val="473"/>
        </w:trPr>
        <w:tc>
          <w:tcPr>
            <w:tcW w:w="1843" w:type="dxa"/>
            <w:vMerge w:val="restart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529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68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511A80" w:rsidRPr="004517B6" w:rsidTr="00E45F6F">
        <w:trPr>
          <w:cantSplit/>
          <w:trHeight w:val="1205"/>
        </w:trPr>
        <w:tc>
          <w:tcPr>
            <w:tcW w:w="1843" w:type="dxa"/>
            <w:vMerge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9" w:type="dxa"/>
          </w:tcPr>
          <w:p w:rsidR="00511A80" w:rsidRPr="004517B6" w:rsidRDefault="00511A80" w:rsidP="004517B6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Po ukończeniu kursu student: </w:t>
            </w:r>
          </w:p>
          <w:p w:rsidR="00511A80" w:rsidRPr="004517B6" w:rsidRDefault="00511A80" w:rsidP="004517B6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W01: posługuje się zaawansowaną terminologią w zakresie praktyk kuratorskich, teorii sztuki, historii wystawiennictwa </w:t>
            </w:r>
          </w:p>
          <w:p w:rsidR="00511A80" w:rsidRPr="004517B6" w:rsidRDefault="00511A80" w:rsidP="004517B6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W02: ma zaawansowaną wiedzę o metodyce wykonywania pracy nad wystawami sztuki współczesnej </w:t>
            </w:r>
          </w:p>
          <w:p w:rsidR="00511A80" w:rsidRPr="004517B6" w:rsidRDefault="00511A80" w:rsidP="004517B6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W03: posiada wiedzę dotyczącą praktycznej strony organizacji wystaw dzieł sztuki, w szczególności na temat transportu, konserwacji, ubezpieczenia</w:t>
            </w:r>
          </w:p>
        </w:tc>
        <w:tc>
          <w:tcPr>
            <w:tcW w:w="2268" w:type="dxa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517B6">
              <w:rPr>
                <w:rFonts w:cstheme="minorHAnsi"/>
              </w:rPr>
              <w:t xml:space="preserve">K1_W04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517B6">
              <w:rPr>
                <w:rFonts w:cstheme="minorHAnsi"/>
              </w:rPr>
              <w:t xml:space="preserve">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517B6">
              <w:rPr>
                <w:rFonts w:cstheme="minorHAnsi"/>
              </w:rPr>
              <w:t xml:space="preserve">K1_W09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517B6">
              <w:rPr>
                <w:rFonts w:cstheme="minorHAnsi"/>
              </w:rPr>
              <w:t xml:space="preserve">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517B6">
              <w:rPr>
                <w:rFonts w:cstheme="minorHAnsi"/>
              </w:rPr>
              <w:t>K1_W13</w:t>
            </w:r>
          </w:p>
        </w:tc>
      </w:tr>
    </w:tbl>
    <w:p w:rsidR="001858DB" w:rsidRDefault="001858DB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5529"/>
        <w:gridCol w:w="2268"/>
      </w:tblGrid>
      <w:tr w:rsidR="00511A80" w:rsidRPr="004517B6" w:rsidTr="00E45F6F">
        <w:trPr>
          <w:cantSplit/>
          <w:trHeight w:val="244"/>
        </w:trPr>
        <w:tc>
          <w:tcPr>
            <w:tcW w:w="1843" w:type="dxa"/>
            <w:vMerge w:val="restart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lastRenderedPageBreak/>
              <w:t>Umiejętności</w:t>
            </w:r>
          </w:p>
        </w:tc>
        <w:tc>
          <w:tcPr>
            <w:tcW w:w="5529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68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511A80" w:rsidRPr="004517B6" w:rsidTr="00E45F6F">
        <w:trPr>
          <w:cantSplit/>
          <w:trHeight w:val="475"/>
        </w:trPr>
        <w:tc>
          <w:tcPr>
            <w:tcW w:w="1843" w:type="dxa"/>
            <w:vMerge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9" w:type="dxa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Po ukończeniu kursu student: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U01 umie samodzielnie stworzyć projekt wystawy lub innego wydarzenia artystycznego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U02 potrafi zdefiniować cele i stworzyć harmonogram prac koniecznych do realizacji swojego zamierzenia kuratorskiego.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U03 zna i potrafi wykorzystać różne media do przedstawienia swojego projektu kuratorskiego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U04 posiada umiejętność komunikacji pomiędzy różnymi podmiotami zaangażowanymi w proces prezentacji sztuki.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U05 potrafi stworzyć i ocenić projekt wystawy powstały w ramach pracy zespołowej</w:t>
            </w:r>
          </w:p>
        </w:tc>
        <w:tc>
          <w:tcPr>
            <w:tcW w:w="2268" w:type="dxa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K1_U03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K1_U03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K1_U10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K1_U04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K1_U15</w:t>
            </w:r>
          </w:p>
        </w:tc>
      </w:tr>
      <w:tr w:rsidR="00511A80" w:rsidRPr="004517B6" w:rsidTr="00E45F6F">
        <w:trPr>
          <w:cantSplit/>
          <w:trHeight w:val="226"/>
        </w:trPr>
        <w:tc>
          <w:tcPr>
            <w:tcW w:w="1843" w:type="dxa"/>
            <w:vMerge w:val="restart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529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68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511A80" w:rsidRPr="004517B6" w:rsidTr="00E45F6F">
        <w:trPr>
          <w:cantSplit/>
          <w:trHeight w:val="462"/>
        </w:trPr>
        <w:tc>
          <w:tcPr>
            <w:tcW w:w="1843" w:type="dxa"/>
            <w:vMerge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9" w:type="dxa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517B6">
              <w:rPr>
                <w:rFonts w:cstheme="minorHAnsi"/>
              </w:rPr>
              <w:t xml:space="preserve">Po ukończeniu kursu student: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517B6">
              <w:rPr>
                <w:rFonts w:cstheme="minorHAnsi"/>
              </w:rPr>
              <w:t xml:space="preserve">K01 potrafi rozwiązywać problemy pojawiające się przy projektowaniu wystawy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4517B6">
              <w:rPr>
                <w:rFonts w:cstheme="minorHAnsi"/>
              </w:rPr>
              <w:t>K02  rozumie złożoność pracy osób zaangażowanych w projektowanie i organizację wystaw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4517B6">
              <w:rPr>
                <w:rFonts w:cstheme="minorHAnsi"/>
              </w:rPr>
              <w:t>K03 ma świadomość odpowiedzialności zawodowej związanej z tworzeniem wystaw jako elementu dziedzictwa kulturowego</w:t>
            </w:r>
          </w:p>
        </w:tc>
        <w:tc>
          <w:tcPr>
            <w:tcW w:w="2268" w:type="dxa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K1_K04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K1_K08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 </w:t>
            </w:r>
          </w:p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K1_K10</w:t>
            </w:r>
          </w:p>
        </w:tc>
      </w:tr>
    </w:tbl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511A80" w:rsidRPr="004517B6" w:rsidTr="00E45F6F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511A80" w:rsidRPr="004517B6" w:rsidTr="001858DB">
        <w:trPr>
          <w:cantSplit/>
          <w:trHeight w:val="26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Wykład</w:t>
            </w:r>
          </w:p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511A80" w:rsidRPr="004517B6" w:rsidTr="001858DB">
        <w:trPr>
          <w:cantSplit/>
          <w:trHeight w:val="213"/>
        </w:trPr>
        <w:tc>
          <w:tcPr>
            <w:tcW w:w="1611" w:type="dxa"/>
            <w:vMerge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511A80" w:rsidRPr="004517B6" w:rsidTr="001858DB">
        <w:trPr>
          <w:trHeight w:val="160"/>
        </w:trPr>
        <w:tc>
          <w:tcPr>
            <w:tcW w:w="1611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25</w:t>
            </w:r>
          </w:p>
        </w:tc>
        <w:tc>
          <w:tcPr>
            <w:tcW w:w="1103" w:type="dxa"/>
            <w:gridSpan w:val="2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511A80" w:rsidRPr="004517B6" w:rsidRDefault="00511A80" w:rsidP="004517B6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517B6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11A80" w:rsidRPr="004517B6" w:rsidTr="00E45F6F">
        <w:trPr>
          <w:trHeight w:val="297"/>
        </w:trPr>
        <w:tc>
          <w:tcPr>
            <w:tcW w:w="9622" w:type="dxa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Studenci pracują indywidualnie i w zespołach, opracowują rozwiązania kuratorskie i wystawiennicze. W ramach zajęć przeprowadzają analizę krytyczną wybranej wystawy. Poznają zasady projektowania wystaw dostępnych dla osób z niepełnosprawnościami. W ramach zajęć studenci realizują własny projekt kuratorski oraz uczestniczą w serii tematycznych wykładów.</w:t>
            </w:r>
          </w:p>
        </w:tc>
      </w:tr>
    </w:tbl>
    <w:p w:rsidR="00511A80" w:rsidRPr="004517B6" w:rsidRDefault="00511A80" w:rsidP="004517B6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511A80" w:rsidRPr="004517B6" w:rsidRDefault="00511A80" w:rsidP="004517B6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517B6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4517B6" w:rsidRPr="004517B6" w:rsidTr="001858DB">
        <w:trPr>
          <w:cantSplit/>
          <w:trHeight w:val="1382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4517B6" w:rsidRPr="004517B6" w:rsidTr="00E45F6F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W_01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517B6" w:rsidRPr="004517B6" w:rsidTr="00E45F6F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W_02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517B6" w:rsidRPr="004517B6" w:rsidTr="00E45F6F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W_03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517B6" w:rsidRPr="004517B6" w:rsidTr="00E45F6F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W_04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517B6" w:rsidRPr="004517B6" w:rsidTr="00E45F6F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U_01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517B6" w:rsidRPr="004517B6" w:rsidTr="00E45F6F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U_02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11A80" w:rsidRPr="004517B6" w:rsidTr="00E45F6F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U_03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11A80" w:rsidRPr="004517B6" w:rsidTr="00E45F6F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U_04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11A80" w:rsidRPr="004517B6" w:rsidTr="00E45F6F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U_05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517B6" w:rsidRPr="004517B6" w:rsidTr="00E45F6F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lastRenderedPageBreak/>
              <w:t>K_01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517B6" w:rsidRPr="004517B6" w:rsidTr="00E45F6F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K_02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511A80" w:rsidRPr="004517B6" w:rsidTr="00E45F6F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K_03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511A80" w:rsidRPr="004517B6" w:rsidRDefault="00511A80" w:rsidP="004517B6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511A80" w:rsidRPr="004517B6" w:rsidTr="00E45F6F">
        <w:tc>
          <w:tcPr>
            <w:tcW w:w="1941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Zaliczenie kursu na ocenę na podstawie obecności i egzaminu w formie pracy pisemnej.</w:t>
            </w:r>
          </w:p>
        </w:tc>
      </w:tr>
    </w:tbl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511A80" w:rsidRPr="004517B6" w:rsidTr="00E45F6F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511A80" w:rsidRPr="004517B6" w:rsidRDefault="00511A80" w:rsidP="004517B6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517B6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511A80" w:rsidRPr="004517B6" w:rsidTr="00E45F6F">
        <w:trPr>
          <w:trHeight w:val="1445"/>
        </w:trPr>
        <w:tc>
          <w:tcPr>
            <w:tcW w:w="9706" w:type="dxa"/>
          </w:tcPr>
          <w:p w:rsidR="00511A80" w:rsidRPr="004517B6" w:rsidRDefault="00511A80" w:rsidP="004517B6">
            <w:pPr>
              <w:pStyle w:val="Akapitzlist"/>
              <w:numPr>
                <w:ilvl w:val="0"/>
                <w:numId w:val="3"/>
              </w:numPr>
              <w:tabs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Wystawa jako opowiadanie historii.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3"/>
              </w:numPr>
              <w:tabs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Kontekst w projektowaniu wystaw.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3"/>
              </w:numPr>
              <w:tabs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Wystawa w formie filmu, film w formie wystawy.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3"/>
              </w:numPr>
              <w:tabs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Immersyjność wystawy.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3"/>
              </w:numPr>
              <w:tabs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Dostępność.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3"/>
              </w:numPr>
              <w:tabs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Historia projektowania wystaw.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3"/>
              </w:numPr>
              <w:tabs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Tekst jako element ekspozycji.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3"/>
              </w:numPr>
              <w:tabs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Bezpieczeństwo. 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3"/>
              </w:numPr>
              <w:tabs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Propaganda w projektowaniu wystaw.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3"/>
              </w:numPr>
              <w:tabs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Współpraca z twórcami.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3"/>
              </w:numPr>
              <w:tabs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 xml:space="preserve">Wystawy w nietypowych przestrzeniach.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3"/>
              </w:numPr>
              <w:tabs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4517B6">
              <w:rPr>
                <w:rFonts w:eastAsia="Times New Roman" w:cstheme="minorHAnsi"/>
                <w:lang w:eastAsia="pl-PL"/>
              </w:rPr>
              <w:t>Wielowarstwowe narracje wystawiennicze.</w:t>
            </w:r>
          </w:p>
        </w:tc>
      </w:tr>
    </w:tbl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517B6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11A80" w:rsidRPr="004517B6" w:rsidTr="00E45F6F">
        <w:trPr>
          <w:trHeight w:val="569"/>
        </w:trPr>
        <w:tc>
          <w:tcPr>
            <w:tcW w:w="9622" w:type="dxa"/>
          </w:tcPr>
          <w:p w:rsidR="00511A80" w:rsidRPr="004517B6" w:rsidRDefault="00511A80" w:rsidP="004517B6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</w:rPr>
            </w:pPr>
            <w:r w:rsidRPr="004517B6">
              <w:rPr>
                <w:rFonts w:cstheme="minorHAnsi"/>
              </w:rPr>
              <w:t xml:space="preserve">Czym jest projektowanie wystaw? Jan Lorenc, Lee </w:t>
            </w:r>
            <w:proofErr w:type="spellStart"/>
            <w:r w:rsidRPr="004517B6">
              <w:rPr>
                <w:rFonts w:cstheme="minorHAnsi"/>
              </w:rPr>
              <w:t>Skolnick</w:t>
            </w:r>
            <w:proofErr w:type="spellEnd"/>
            <w:r w:rsidRPr="004517B6">
              <w:rPr>
                <w:rFonts w:cstheme="minorHAnsi"/>
              </w:rPr>
              <w:t xml:space="preserve">, Craig Berger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</w:rPr>
            </w:pPr>
            <w:r w:rsidRPr="004517B6">
              <w:rPr>
                <w:rFonts w:cstheme="minorHAnsi"/>
              </w:rPr>
              <w:t xml:space="preserve">Display. Strategie wystawiania Maria Hussakowska, Ewa Małgorzata Tatar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</w:rPr>
            </w:pPr>
            <w:proofErr w:type="spellStart"/>
            <w:r w:rsidRPr="004517B6">
              <w:rPr>
                <w:rFonts w:cstheme="minorHAnsi"/>
              </w:rPr>
              <w:t>What</w:t>
            </w:r>
            <w:proofErr w:type="spellEnd"/>
            <w:r w:rsidRPr="004517B6">
              <w:rPr>
                <w:rFonts w:cstheme="minorHAnsi"/>
              </w:rPr>
              <w:t xml:space="preserve"> </w:t>
            </w:r>
            <w:proofErr w:type="spellStart"/>
            <w:r w:rsidRPr="004517B6">
              <w:rPr>
                <w:rFonts w:cstheme="minorHAnsi"/>
              </w:rPr>
              <w:t>makes</w:t>
            </w:r>
            <w:proofErr w:type="spellEnd"/>
            <w:r w:rsidRPr="004517B6">
              <w:rPr>
                <w:rFonts w:cstheme="minorHAnsi"/>
              </w:rPr>
              <w:t xml:space="preserve"> a </w:t>
            </w:r>
            <w:proofErr w:type="spellStart"/>
            <w:r w:rsidRPr="004517B6">
              <w:rPr>
                <w:rFonts w:cstheme="minorHAnsi"/>
              </w:rPr>
              <w:t>great</w:t>
            </w:r>
            <w:proofErr w:type="spellEnd"/>
            <w:r w:rsidRPr="004517B6">
              <w:rPr>
                <w:rFonts w:cstheme="minorHAnsi"/>
              </w:rPr>
              <w:t xml:space="preserve"> </w:t>
            </w:r>
            <w:proofErr w:type="spellStart"/>
            <w:r w:rsidRPr="004517B6">
              <w:rPr>
                <w:rFonts w:cstheme="minorHAnsi"/>
              </w:rPr>
              <w:t>exhibition</w:t>
            </w:r>
            <w:proofErr w:type="spellEnd"/>
            <w:r w:rsidRPr="004517B6">
              <w:rPr>
                <w:rFonts w:cstheme="minorHAnsi"/>
              </w:rPr>
              <w:t xml:space="preserve"> Paula </w:t>
            </w:r>
            <w:proofErr w:type="spellStart"/>
            <w:r w:rsidRPr="004517B6">
              <w:rPr>
                <w:rFonts w:cstheme="minorHAnsi"/>
              </w:rPr>
              <w:t>Marincola</w:t>
            </w:r>
            <w:proofErr w:type="spellEnd"/>
            <w:r w:rsidRPr="004517B6">
              <w:rPr>
                <w:rFonts w:cstheme="minorHAnsi"/>
              </w:rPr>
              <w:t xml:space="preserve">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</w:rPr>
            </w:pPr>
            <w:r w:rsidRPr="004517B6">
              <w:rPr>
                <w:rFonts w:cstheme="minorHAnsi"/>
              </w:rPr>
              <w:t xml:space="preserve">W ramach wystawy. Marta Czyż, Julia Wielgus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</w:rPr>
            </w:pPr>
            <w:r w:rsidRPr="004517B6">
              <w:rPr>
                <w:rFonts w:cstheme="minorHAnsi"/>
              </w:rPr>
              <w:t xml:space="preserve">The Power of Display: A </w:t>
            </w:r>
            <w:proofErr w:type="spellStart"/>
            <w:r w:rsidRPr="004517B6">
              <w:rPr>
                <w:rFonts w:cstheme="minorHAnsi"/>
              </w:rPr>
              <w:t>History</w:t>
            </w:r>
            <w:proofErr w:type="spellEnd"/>
            <w:r w:rsidRPr="004517B6">
              <w:rPr>
                <w:rFonts w:cstheme="minorHAnsi"/>
              </w:rPr>
              <w:t xml:space="preserve"> of </w:t>
            </w:r>
            <w:proofErr w:type="spellStart"/>
            <w:r w:rsidRPr="004517B6">
              <w:rPr>
                <w:rFonts w:cstheme="minorHAnsi"/>
              </w:rPr>
              <w:t>Exhibition</w:t>
            </w:r>
            <w:proofErr w:type="spellEnd"/>
            <w:r w:rsidRPr="004517B6">
              <w:rPr>
                <w:rFonts w:cstheme="minorHAnsi"/>
              </w:rPr>
              <w:t xml:space="preserve"> </w:t>
            </w:r>
            <w:proofErr w:type="spellStart"/>
            <w:r w:rsidRPr="004517B6">
              <w:rPr>
                <w:rFonts w:cstheme="minorHAnsi"/>
              </w:rPr>
              <w:t>Installations</w:t>
            </w:r>
            <w:proofErr w:type="spellEnd"/>
            <w:r w:rsidRPr="004517B6">
              <w:rPr>
                <w:rFonts w:cstheme="minorHAnsi"/>
              </w:rPr>
              <w:t xml:space="preserve"> </w:t>
            </w:r>
            <w:proofErr w:type="spellStart"/>
            <w:r w:rsidRPr="004517B6">
              <w:rPr>
                <w:rFonts w:cstheme="minorHAnsi"/>
              </w:rPr>
              <w:t>Anne</w:t>
            </w:r>
            <w:proofErr w:type="spellEnd"/>
            <w:r w:rsidRPr="004517B6">
              <w:rPr>
                <w:rFonts w:cstheme="minorHAnsi"/>
              </w:rPr>
              <w:t xml:space="preserve"> Staniszewski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</w:rPr>
            </w:pPr>
            <w:proofErr w:type="spellStart"/>
            <w:r w:rsidRPr="004517B6">
              <w:rPr>
                <w:rFonts w:cstheme="minorHAnsi"/>
              </w:rPr>
              <w:t>Exhibition</w:t>
            </w:r>
            <w:proofErr w:type="spellEnd"/>
            <w:r w:rsidRPr="004517B6">
              <w:rPr>
                <w:rFonts w:cstheme="minorHAnsi"/>
              </w:rPr>
              <w:t xml:space="preserve"> Art </w:t>
            </w:r>
            <w:proofErr w:type="spellStart"/>
            <w:r w:rsidRPr="004517B6">
              <w:rPr>
                <w:rFonts w:cstheme="minorHAnsi"/>
              </w:rPr>
              <w:t>Wang</w:t>
            </w:r>
            <w:proofErr w:type="spellEnd"/>
            <w:r w:rsidRPr="004517B6">
              <w:rPr>
                <w:rFonts w:cstheme="minorHAnsi"/>
              </w:rPr>
              <w:t xml:space="preserve"> </w:t>
            </w:r>
            <w:proofErr w:type="spellStart"/>
            <w:r w:rsidRPr="004517B6">
              <w:rPr>
                <w:rFonts w:cstheme="minorHAnsi"/>
              </w:rPr>
              <w:t>Shaoqiang</w:t>
            </w:r>
            <w:proofErr w:type="spellEnd"/>
            <w:r w:rsidRPr="004517B6">
              <w:rPr>
                <w:rFonts w:cstheme="minorHAnsi"/>
              </w:rPr>
              <w:t xml:space="preserve">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</w:rPr>
            </w:pPr>
            <w:r w:rsidRPr="004517B6">
              <w:rPr>
                <w:rFonts w:cstheme="minorHAnsi"/>
              </w:rPr>
              <w:t xml:space="preserve">Obóz Muzeum. Trauma we współczesnym wystawiennictwie. Małgorzata </w:t>
            </w:r>
            <w:proofErr w:type="spellStart"/>
            <w:r w:rsidRPr="004517B6">
              <w:rPr>
                <w:rFonts w:cstheme="minorHAnsi"/>
              </w:rPr>
              <w:t>Fabiszak</w:t>
            </w:r>
            <w:proofErr w:type="spellEnd"/>
            <w:r w:rsidRPr="004517B6">
              <w:rPr>
                <w:rFonts w:cstheme="minorHAnsi"/>
              </w:rPr>
              <w:t xml:space="preserve">, Marcin Owsiński </w:t>
            </w:r>
          </w:p>
          <w:p w:rsidR="00511A80" w:rsidRPr="004517B6" w:rsidRDefault="00511A80" w:rsidP="004517B6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</w:rPr>
            </w:pPr>
            <w:r w:rsidRPr="004517B6">
              <w:rPr>
                <w:rFonts w:cstheme="minorHAnsi"/>
              </w:rPr>
              <w:t xml:space="preserve">Andrzej Pawłowski 1925 – 1986 katalog wystawy BWA Katowice </w:t>
            </w:r>
          </w:p>
        </w:tc>
      </w:tr>
    </w:tbl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517B6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11A80" w:rsidRPr="004517B6" w:rsidTr="004517B6">
        <w:trPr>
          <w:trHeight w:val="199"/>
        </w:trPr>
        <w:tc>
          <w:tcPr>
            <w:tcW w:w="9622" w:type="dxa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</w:tr>
    </w:tbl>
    <w:p w:rsidR="00511A80" w:rsidRPr="004517B6" w:rsidRDefault="00511A80" w:rsidP="004517B6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4517B6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263"/>
        <w:gridCol w:w="6804"/>
        <w:gridCol w:w="515"/>
      </w:tblGrid>
      <w:tr w:rsidR="00511A80" w:rsidRPr="004517B6" w:rsidTr="001858DB">
        <w:trPr>
          <w:cantSplit/>
          <w:trHeight w:val="334"/>
        </w:trPr>
        <w:tc>
          <w:tcPr>
            <w:tcW w:w="2263" w:type="dxa"/>
            <w:vMerge w:val="restart"/>
            <w:shd w:val="clear" w:color="auto" w:fill="DBE5F1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6804" w:type="dxa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Wykład</w:t>
            </w:r>
          </w:p>
        </w:tc>
        <w:tc>
          <w:tcPr>
            <w:tcW w:w="515" w:type="dxa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25</w:t>
            </w:r>
          </w:p>
        </w:tc>
      </w:tr>
      <w:tr w:rsidR="00511A80" w:rsidRPr="004517B6" w:rsidTr="001858DB">
        <w:trPr>
          <w:cantSplit/>
          <w:trHeight w:val="332"/>
        </w:trPr>
        <w:tc>
          <w:tcPr>
            <w:tcW w:w="2263" w:type="dxa"/>
            <w:vMerge/>
            <w:shd w:val="clear" w:color="auto" w:fill="DBE5F1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804" w:type="dxa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515" w:type="dxa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511A80" w:rsidRPr="004517B6" w:rsidTr="001858DB">
        <w:trPr>
          <w:cantSplit/>
          <w:trHeight w:val="397"/>
        </w:trPr>
        <w:tc>
          <w:tcPr>
            <w:tcW w:w="226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804" w:type="dxa"/>
            <w:tcBorders>
              <w:bottom w:val="single" w:sz="4" w:space="0" w:color="95B3D7"/>
            </w:tcBorders>
            <w:vAlign w:val="center"/>
          </w:tcPr>
          <w:p w:rsidR="00511A80" w:rsidRPr="004517B6" w:rsidRDefault="00511A80" w:rsidP="004517B6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515" w:type="dxa"/>
            <w:tcBorders>
              <w:bottom w:val="single" w:sz="4" w:space="0" w:color="95B3D7"/>
            </w:tcBorders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5</w:t>
            </w:r>
          </w:p>
        </w:tc>
      </w:tr>
      <w:tr w:rsidR="00511A80" w:rsidRPr="004517B6" w:rsidTr="001858DB">
        <w:trPr>
          <w:cantSplit/>
          <w:trHeight w:val="348"/>
        </w:trPr>
        <w:tc>
          <w:tcPr>
            <w:tcW w:w="2263" w:type="dxa"/>
            <w:vMerge w:val="restart"/>
            <w:shd w:val="clear" w:color="auto" w:fill="DBE5F1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6804" w:type="dxa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515" w:type="dxa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</w:p>
        </w:tc>
      </w:tr>
      <w:tr w:rsidR="00511A80" w:rsidRPr="004517B6" w:rsidTr="001858DB">
        <w:trPr>
          <w:cantSplit/>
          <w:trHeight w:val="621"/>
        </w:trPr>
        <w:tc>
          <w:tcPr>
            <w:tcW w:w="2263" w:type="dxa"/>
            <w:vMerge/>
            <w:shd w:val="clear" w:color="auto" w:fill="DBE5F1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804" w:type="dxa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515" w:type="dxa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511A80" w:rsidRPr="004517B6" w:rsidTr="001858DB">
        <w:trPr>
          <w:cantSplit/>
          <w:trHeight w:val="559"/>
        </w:trPr>
        <w:tc>
          <w:tcPr>
            <w:tcW w:w="2263" w:type="dxa"/>
            <w:vMerge/>
            <w:shd w:val="clear" w:color="auto" w:fill="DBE5F1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804" w:type="dxa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515" w:type="dxa"/>
            <w:vAlign w:val="center"/>
          </w:tcPr>
          <w:p w:rsidR="00511A80" w:rsidRPr="004517B6" w:rsidRDefault="004517B6" w:rsidP="004517B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30</w:t>
            </w:r>
          </w:p>
        </w:tc>
      </w:tr>
      <w:tr w:rsidR="00511A80" w:rsidRPr="004517B6" w:rsidTr="001858DB">
        <w:trPr>
          <w:cantSplit/>
          <w:trHeight w:val="365"/>
        </w:trPr>
        <w:tc>
          <w:tcPr>
            <w:tcW w:w="226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804" w:type="dxa"/>
            <w:tcBorders>
              <w:bottom w:val="single" w:sz="4" w:space="0" w:color="95B3D7"/>
            </w:tcBorders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515" w:type="dxa"/>
            <w:tcBorders>
              <w:bottom w:val="single" w:sz="4" w:space="0" w:color="95B3D7"/>
            </w:tcBorders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25</w:t>
            </w:r>
          </w:p>
        </w:tc>
      </w:tr>
      <w:tr w:rsidR="00511A80" w:rsidRPr="004517B6" w:rsidTr="001858DB">
        <w:trPr>
          <w:trHeight w:val="365"/>
        </w:trPr>
        <w:tc>
          <w:tcPr>
            <w:tcW w:w="9067" w:type="dxa"/>
            <w:gridSpan w:val="2"/>
            <w:shd w:val="clear" w:color="auto" w:fill="DBE5F1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515" w:type="dxa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75</w:t>
            </w:r>
          </w:p>
        </w:tc>
      </w:tr>
      <w:tr w:rsidR="00511A80" w:rsidRPr="004517B6" w:rsidTr="001858DB">
        <w:trPr>
          <w:trHeight w:val="392"/>
        </w:trPr>
        <w:tc>
          <w:tcPr>
            <w:tcW w:w="9067" w:type="dxa"/>
            <w:gridSpan w:val="2"/>
            <w:shd w:val="clear" w:color="auto" w:fill="DBE5F1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515" w:type="dxa"/>
            <w:vAlign w:val="center"/>
          </w:tcPr>
          <w:p w:rsidR="00511A80" w:rsidRPr="004517B6" w:rsidRDefault="00511A80" w:rsidP="004517B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4517B6">
              <w:rPr>
                <w:rFonts w:eastAsia="Calibri" w:cstheme="minorHAnsi"/>
              </w:rPr>
              <w:t>3</w:t>
            </w:r>
          </w:p>
        </w:tc>
      </w:tr>
    </w:tbl>
    <w:p w:rsidR="009E304D" w:rsidRPr="004517B6" w:rsidRDefault="009E304D" w:rsidP="004517B6">
      <w:pPr>
        <w:spacing w:after="0" w:line="240" w:lineRule="auto"/>
        <w:rPr>
          <w:rFonts w:cstheme="minorHAnsi"/>
        </w:rPr>
      </w:pPr>
    </w:p>
    <w:sectPr w:rsidR="009E304D" w:rsidRPr="004517B6" w:rsidSect="008314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B43" w:rsidRDefault="00740B43">
      <w:pPr>
        <w:spacing w:after="0" w:line="240" w:lineRule="auto"/>
      </w:pPr>
      <w:r>
        <w:separator/>
      </w:r>
    </w:p>
  </w:endnote>
  <w:endnote w:type="continuationSeparator" w:id="0">
    <w:p w:rsidR="00740B43" w:rsidRDefault="00740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740B4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4517B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17C6E">
      <w:rPr>
        <w:noProof/>
      </w:rPr>
      <w:t>3</w:t>
    </w:r>
    <w:r>
      <w:fldChar w:fldCharType="end"/>
    </w:r>
  </w:p>
  <w:p w:rsidR="00100C71" w:rsidRDefault="00740B4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740B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B43" w:rsidRDefault="00740B43">
      <w:pPr>
        <w:spacing w:after="0" w:line="240" w:lineRule="auto"/>
      </w:pPr>
      <w:r>
        <w:separator/>
      </w:r>
    </w:p>
  </w:footnote>
  <w:footnote w:type="continuationSeparator" w:id="0">
    <w:p w:rsidR="00740B43" w:rsidRDefault="00740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740B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740B43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740B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31424"/>
    <w:multiLevelType w:val="hybridMultilevel"/>
    <w:tmpl w:val="A28A23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25B535B"/>
    <w:multiLevelType w:val="hybridMultilevel"/>
    <w:tmpl w:val="0764FA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5A50A83"/>
    <w:multiLevelType w:val="hybridMultilevel"/>
    <w:tmpl w:val="08DE8F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A80"/>
    <w:rsid w:val="001858DB"/>
    <w:rsid w:val="004517B6"/>
    <w:rsid w:val="00511A80"/>
    <w:rsid w:val="00740B43"/>
    <w:rsid w:val="00771260"/>
    <w:rsid w:val="009E304D"/>
    <w:rsid w:val="00E1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10CD6F-20F0-43A5-B6CE-3D3333C13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1A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11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11A80"/>
  </w:style>
  <w:style w:type="paragraph" w:styleId="Stopka">
    <w:name w:val="footer"/>
    <w:basedOn w:val="Normalny"/>
    <w:link w:val="StopkaZnak"/>
    <w:uiPriority w:val="99"/>
    <w:semiHidden/>
    <w:unhideWhenUsed/>
    <w:rsid w:val="00511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11A80"/>
  </w:style>
  <w:style w:type="paragraph" w:customStyle="1" w:styleId="CzgwnaA">
    <w:name w:val="Część główna A"/>
    <w:rsid w:val="00511A80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511A80"/>
    <w:rPr>
      <w:i/>
      <w:iCs/>
    </w:rPr>
  </w:style>
  <w:style w:type="paragraph" w:styleId="Akapitzlist">
    <w:name w:val="List Paragraph"/>
    <w:basedOn w:val="Normalny"/>
    <w:uiPriority w:val="34"/>
    <w:qFormat/>
    <w:rsid w:val="00511A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07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838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6</cp:revision>
  <cp:lastPrinted>2023-02-09T20:39:00Z</cp:lastPrinted>
  <dcterms:created xsi:type="dcterms:W3CDTF">2023-02-09T14:08:00Z</dcterms:created>
  <dcterms:modified xsi:type="dcterms:W3CDTF">2023-03-27T20:13:00Z</dcterms:modified>
</cp:coreProperties>
</file>