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D11" w:rsidRPr="00F07D11" w:rsidRDefault="00F07D11" w:rsidP="00F07D11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07D11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F07D11" w:rsidRDefault="00F07D11" w:rsidP="001D460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1D4603" w:rsidRPr="005E100A" w:rsidRDefault="001D4603" w:rsidP="001D460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1D4603">
        <w:rPr>
          <w:rFonts w:eastAsia="Times New Roman" w:cstheme="minorHAnsi"/>
          <w:b/>
          <w:sz w:val="24"/>
          <w:lang w:eastAsia="pl-PL"/>
        </w:rPr>
        <w:t>Ramy instytucjonalne sztuki współczesnej</w:t>
      </w: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>Studia stacjonarne I stopnia, II</w:t>
      </w:r>
      <w:r>
        <w:rPr>
          <w:rFonts w:eastAsia="Times New Roman" w:cstheme="minorHAnsi"/>
          <w:sz w:val="24"/>
          <w:lang w:eastAsia="pl-PL"/>
        </w:rPr>
        <w:t>I rok, V</w:t>
      </w:r>
      <w:r w:rsidRPr="005E100A">
        <w:rPr>
          <w:rFonts w:eastAsia="Times New Roman" w:cstheme="minorHAnsi"/>
          <w:sz w:val="24"/>
          <w:lang w:eastAsia="pl-PL"/>
        </w:rPr>
        <w:t xml:space="preserve"> semestr</w:t>
      </w:r>
    </w:p>
    <w:p w:rsidR="001D4603" w:rsidRPr="005E100A" w:rsidRDefault="001D4603" w:rsidP="001D460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1D4603" w:rsidRPr="005E100A" w:rsidTr="00BE5CD6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Ramy instytucjonalne sztuki współczesnej</w:t>
            </w:r>
          </w:p>
        </w:tc>
      </w:tr>
      <w:tr w:rsidR="001D4603" w:rsidRPr="005E100A" w:rsidTr="00BE5CD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>
              <w:rPr>
                <w:rFonts w:eastAsia="Times New Roman" w:cstheme="minorHAnsi"/>
                <w:lang w:val="en-US" w:eastAsia="pl-PL"/>
              </w:rPr>
              <w:t>T</w:t>
            </w:r>
            <w:r w:rsidRPr="001D4603">
              <w:rPr>
                <w:rFonts w:eastAsia="Times New Roman" w:cstheme="minorHAnsi"/>
                <w:lang w:val="en-US" w:eastAsia="pl-PL"/>
              </w:rPr>
              <w:t>he institutional background of the art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1D4603" w:rsidRPr="005E100A" w:rsidTr="00BE5CD6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1D4603" w:rsidRPr="005E100A" w:rsidTr="00BE5CD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D4603" w:rsidRPr="005E100A" w:rsidTr="00BE5CD6">
        <w:trPr>
          <w:trHeight w:val="219"/>
        </w:trPr>
        <w:tc>
          <w:tcPr>
            <w:tcW w:w="9640" w:type="dxa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Celem kursu jest zapoznanie z </w:t>
            </w:r>
            <w:r>
              <w:rPr>
                <w:rFonts w:eastAsia="Times New Roman" w:cstheme="minorHAnsi"/>
                <w:lang w:eastAsia="pl-PL"/>
              </w:rPr>
              <w:t>instytucjonalnymi uwarunkowaniami funkcjonowania sektora kultury i  sztuki.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D4603" w:rsidRPr="005E100A" w:rsidTr="00BE5CD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D4603" w:rsidRPr="005E100A" w:rsidTr="00BE5CD6"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953"/>
        <w:gridCol w:w="2202"/>
      </w:tblGrid>
      <w:tr w:rsidR="001D4603" w:rsidRPr="005E100A" w:rsidTr="00DE0F1C">
        <w:trPr>
          <w:cantSplit/>
          <w:trHeight w:val="291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DE0F1C">
        <w:trPr>
          <w:cantSplit/>
          <w:trHeight w:val="1205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1D4603" w:rsidRPr="005E100A" w:rsidRDefault="001D4603" w:rsidP="00BE5CD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W01 </w:t>
            </w:r>
            <w:r w:rsidR="00A30E96" w:rsidRPr="00A30E96">
              <w:rPr>
                <w:rFonts w:eastAsia="Times New Roman" w:cstheme="minorHAnsi"/>
                <w:lang w:eastAsia="pl-PL"/>
              </w:rPr>
              <w:t>Ma uporządkowaną wiedzę o instytucjonalnych uwarunkowaniach funkcjonowania sztuki współczesnej oraz kultury wizualnej</w:t>
            </w:r>
          </w:p>
          <w:p w:rsidR="001D4603" w:rsidRDefault="001D4603" w:rsidP="00A30E9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</w:t>
            </w:r>
            <w:r w:rsidR="00A30E96" w:rsidRPr="00A30E96">
              <w:rPr>
                <w:rFonts w:eastAsia="Times New Roman" w:cstheme="minorHAnsi"/>
                <w:lang w:eastAsia="pl-PL"/>
              </w:rPr>
              <w:t>Posiada wiedzę o metodyce wykonywania zadań, normach, procedurach i dobrych praktykach stosowanych w upowszechnianiu zjawisk z zakresu sztuk wizualnych</w:t>
            </w:r>
            <w:r w:rsidR="00A30E96">
              <w:rPr>
                <w:rFonts w:eastAsia="Times New Roman" w:cstheme="minorHAnsi"/>
                <w:lang w:eastAsia="pl-PL"/>
              </w:rPr>
              <w:t xml:space="preserve"> ze szczególnym uwzględnieniem aspektów instytucjonalnych</w:t>
            </w:r>
          </w:p>
          <w:p w:rsidR="00A30E96" w:rsidRPr="005E100A" w:rsidRDefault="00A30E96" w:rsidP="00A30E9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W03 </w:t>
            </w:r>
            <w:r w:rsidRPr="00A30E96">
              <w:rPr>
                <w:rFonts w:eastAsia="Times New Roman" w:cstheme="minorHAnsi"/>
                <w:lang w:eastAsia="pl-PL"/>
              </w:rPr>
              <w:t>Zna i rozumie współczesne zjawiska kształtujące poszczególne dziedziny sztuk wizualnych</w:t>
            </w:r>
            <w:r>
              <w:rPr>
                <w:rFonts w:eastAsia="Times New Roman" w:cstheme="minorHAnsi"/>
                <w:lang w:eastAsia="pl-PL"/>
              </w:rPr>
              <w:t>, w tym prawne i strukturalne</w:t>
            </w:r>
          </w:p>
        </w:tc>
        <w:tc>
          <w:tcPr>
            <w:tcW w:w="2202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_W12</w:t>
            </w: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1D4603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K_W13</w:t>
            </w:r>
          </w:p>
          <w:p w:rsidR="00A30E96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30E96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30E96" w:rsidRPr="005E100A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K_W16</w:t>
            </w:r>
          </w:p>
        </w:tc>
      </w:tr>
      <w:tr w:rsidR="001D4603" w:rsidRPr="005E100A" w:rsidTr="00DE0F1C">
        <w:trPr>
          <w:cantSplit/>
          <w:trHeight w:val="325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DE0F1C">
        <w:trPr>
          <w:cantSplit/>
          <w:trHeight w:val="475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1D4603" w:rsidRPr="00A30E96" w:rsidRDefault="001D4603" w:rsidP="00A30E9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</w:t>
            </w:r>
            <w:r w:rsidR="00A30E96" w:rsidRPr="00A30E96">
              <w:rPr>
                <w:rFonts w:eastAsia="Times New Roman" w:cstheme="minorHAnsi"/>
                <w:lang w:eastAsia="pl-PL"/>
              </w:rPr>
              <w:t>Umie rozpoznawać współczesne zjawiska kształtujące poszczególne dziedziny sztuk wizualnych</w:t>
            </w:r>
          </w:p>
        </w:tc>
        <w:tc>
          <w:tcPr>
            <w:tcW w:w="2202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_U11</w:t>
            </w: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F07D11">
        <w:trPr>
          <w:cantSplit/>
          <w:trHeight w:val="417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Kompetencje społeczn</w:t>
            </w:r>
            <w:bookmarkStart w:id="0" w:name="_GoBack"/>
            <w:bookmarkEnd w:id="0"/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5953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DE0F1C">
        <w:trPr>
          <w:cantSplit/>
          <w:trHeight w:val="462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953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="00A30E96" w:rsidRPr="00A30E96">
              <w:rPr>
                <w:rFonts w:eastAsia="Times New Roman" w:cstheme="minorHAnsi"/>
                <w:lang w:eastAsia="pl-PL"/>
              </w:rPr>
              <w:t>Jest gotowy do ciągłego dokształcania się zawodowego i rozwoju osobistego, dokonywania samooceny własnych kompetencji i doskonalenia umiejętności</w:t>
            </w:r>
          </w:p>
          <w:p w:rsidR="001D4603" w:rsidRPr="005E100A" w:rsidRDefault="001D4603" w:rsidP="00A30E96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K02 </w:t>
            </w:r>
            <w:r w:rsidR="00A30E96" w:rsidRPr="00A30E96">
              <w:rPr>
                <w:rFonts w:eastAsia="Times New Roman" w:cstheme="minorHAnsi"/>
                <w:lang w:eastAsia="pl-PL"/>
              </w:rPr>
              <w:t>Jest świadomy znaczenia podejmowania współpracy w działalności zawodowej</w:t>
            </w:r>
          </w:p>
        </w:tc>
        <w:tc>
          <w:tcPr>
            <w:tcW w:w="2202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_K01</w:t>
            </w: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A30E96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D4603" w:rsidRPr="005E100A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K_K03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1D4603" w:rsidRPr="005E100A" w:rsidTr="00BE5CD6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1D4603" w:rsidRPr="005E100A" w:rsidTr="00BE5CD6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1D4603" w:rsidRPr="005E100A" w:rsidTr="00BE5CD6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297"/>
        </w:trPr>
        <w:tc>
          <w:tcPr>
            <w:tcW w:w="9622" w:type="dxa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1D4603" w:rsidRPr="005E100A" w:rsidTr="00BE5CD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1D4603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1D4603" w:rsidRPr="005E100A" w:rsidRDefault="001D4603" w:rsidP="001D460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</w:t>
            </w:r>
            <w:r>
              <w:rPr>
                <w:rFonts w:eastAsia="Times New Roman" w:cstheme="minorHAnsi"/>
                <w:lang w:eastAsia="pl-PL"/>
              </w:rPr>
              <w:t>pracy</w:t>
            </w:r>
            <w:r>
              <w:rPr>
                <w:rFonts w:cstheme="minorHAnsi"/>
              </w:rPr>
              <w:t xml:space="preserve"> zaliczeniowej. Test zaliczeniowy. 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1D4603" w:rsidRPr="005E100A" w:rsidTr="00BE5CD6">
        <w:trPr>
          <w:trHeight w:val="1445"/>
        </w:trPr>
        <w:tc>
          <w:tcPr>
            <w:tcW w:w="9706" w:type="dxa"/>
          </w:tcPr>
          <w:p w:rsidR="001D4603" w:rsidRDefault="001D4603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Organizacja sektora kultury w Polsce</w:t>
            </w:r>
          </w:p>
          <w:p w:rsidR="00A30E96" w:rsidRPr="001D4603" w:rsidRDefault="00A30E96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Prawne podstawy działalności kulturalnej</w:t>
            </w:r>
          </w:p>
          <w:p w:rsidR="001D4603" w:rsidRPr="001D4603" w:rsidRDefault="001D4603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Modele zarządzania kulturą</w:t>
            </w:r>
          </w:p>
          <w:p w:rsidR="001D4603" w:rsidRPr="001D4603" w:rsidRDefault="001D4603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Zarzadzanie kulturą na poziomie lokalnym</w:t>
            </w:r>
          </w:p>
          <w:p w:rsidR="001D4603" w:rsidRPr="001D4603" w:rsidRDefault="001D4603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Kultura a rozwój gospodarczy</w:t>
            </w:r>
          </w:p>
          <w:p w:rsidR="001D4603" w:rsidRDefault="00A30E96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Dziedzictwo kulturowe</w:t>
            </w:r>
          </w:p>
          <w:p w:rsidR="001D4603" w:rsidRPr="001D4603" w:rsidRDefault="001D4603" w:rsidP="001D460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 xml:space="preserve">Wspieranie uczestnictwa w kulturze </w:t>
            </w:r>
          </w:p>
          <w:p w:rsidR="001D4603" w:rsidRPr="00A30E96" w:rsidRDefault="001D4603" w:rsidP="00A30E96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Rozwijanie publiczności</w:t>
            </w:r>
            <w:r w:rsidR="00A30E96">
              <w:rPr>
                <w:rFonts w:eastAsia="Times New Roman" w:cstheme="minorHAnsi"/>
                <w:lang w:eastAsia="pl-PL"/>
              </w:rPr>
              <w:t xml:space="preserve"> w zarzadzaniu sektorem kultury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274"/>
        </w:trPr>
        <w:tc>
          <w:tcPr>
            <w:tcW w:w="9622" w:type="dxa"/>
          </w:tcPr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Afeltowicz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Ł., Gądecki J.,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Olechnicki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K.,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Szlendak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T., Wróblewski M., Efekt Bilbao/kult cargo. Nowe instytucje kultury w Polsce, Elbląg 2018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Bachórz A.,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Ciechorska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-Kulesza K., Czarnecki S., Grabowska M.,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Knera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J., Michałowski L., Stachura K.,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Szultka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S.,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Obracht-Prondzyński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C.,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Zbieranek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P., Punkty styczne: między kulturą a praktyką (nie)uczestnictwa, Wyd. Instytut Kultury Miejskiej, Gdańsk 2014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Dragićević-Šešic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M.,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Stojković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B., Kultura: zarządzanie, animacja, marketing, Warszawa 2010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Kaim A., Design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thinking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w kulturze. Myślenie projektowe krok po kroku, Gdynia 2019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Kwiatkowski P.T.,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Nessel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>-Łukasik B.,  ABC Badania publiczności w muzeum, Warszawa 2018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lastRenderedPageBreak/>
              <w:t>Pluszyńska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A., Konior A., Gaweł Ł., Zarządzanie w kulturze. Teoria i praktyka, Warszawa 2020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Sztuka dla widza. Koncepcje rozwoju publiczności, Fundacja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Impact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>, Warszawa 2011</w:t>
            </w:r>
          </w:p>
          <w:p w:rsid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>Wojciechowska A., Kołtun A., Figura D., Kruszewska E. (red.), Inkubator kultury, Lublin 2012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Hausner J.,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Karwińska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A.,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PurchlaJ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. (red.), Kultura a rozwój, Wyd. NCK, Warszawa 2013 </w:t>
            </w:r>
          </w:p>
          <w:p w:rsidR="001D4603" w:rsidRPr="00A30E96" w:rsidRDefault="00A30E96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Hausner J., Ile warta jest kultura. Broszura do myślenia, https://mik.krakow.pl/wp-content/uploads/Jerzy-Hausner-Ile-warta-jest-kultura-MIK-2020.pdf 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567"/>
        </w:trPr>
        <w:tc>
          <w:tcPr>
            <w:tcW w:w="9622" w:type="dxa"/>
          </w:tcPr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B., Animacja w systemie zależności instytucjonalnych. Uwarunkowania rozwoju animacji społeczno-kulturalnej na tle polskiej polityki kulturalnej po 1989 roku, Wyd. UJ, Kraków 2018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Drozdowski R., Fatyga B.,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Filiciak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M., Krajewski M.,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Szlendak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T., Praktyki kulturalne Polaków, Wyd. Naukowe UAM Toruń 2014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>Florida R., Narodziny klasy kreatywnej, Warszawa 2010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>Gierat-Bieroń B. (red.), Europejskie modele polityki kulturalnej, Kraków 2007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Kłosowski W., Kultura jako czynnik rozwoju społecznego a polityki kulturalne polskich metropolii, W: Kultura - Polityka – Rozwój. O kulturze jako „dźwigni” rozwoju społecznego polskich metropolii i regionów, red.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Szultka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S.,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Zbieranek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P., Gdańsk 2012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Miejskie polityki kulturalne, Raport z badań, Fundację Res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Publica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im. Henryka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Krzeczkowskiego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>, Warszawa 2013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>Napiórkowski M., Kto ustala reguły gry? Instytucje kultury wobec polaryzacji politycznej, https://mik.krakow.pl/wp-content/uploads/Marcin-Napi%c3%b3rkowski-Kto-ustala-regu%c5%82y-gry.-Instytucje-kultury-wobec-polaryzacji-politycznej-MIK-2020.pdf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Przastek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D., Polityki kulturalne a wolność wypowiedzi artystycznej w Polsce w latach 1989-2015, Warszawa 2017</w:t>
            </w:r>
          </w:p>
          <w:p w:rsidR="00A30E96" w:rsidRPr="00A30E96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Szlendak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T.,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Olechnicki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K.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Megaceremoniały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i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subświaty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. O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potransformacyjnych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przemianach uczestnictwa Polaków w kulturze. Ruch Prawniczy, Ekonomiczny i Socjologiczny, 2014, nr 2 (76), s. 293-308.</w:t>
            </w:r>
          </w:p>
          <w:p w:rsidR="001D4603" w:rsidRPr="005E100A" w:rsidRDefault="00A30E96" w:rsidP="00A30E9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Throsby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D., Ekonomia i kultura, Warszawa 2010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1D4603" w:rsidRPr="005E100A" w:rsidTr="005722F2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15</w:t>
            </w:r>
          </w:p>
        </w:tc>
      </w:tr>
      <w:tr w:rsidR="001D4603" w:rsidRPr="005E100A" w:rsidTr="005722F2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1D4603" w:rsidRPr="005E100A" w:rsidTr="005722F2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1D4603" w:rsidRPr="005E100A" w:rsidTr="005722F2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1D4603" w:rsidRPr="005E100A" w:rsidTr="005722F2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1D4603" w:rsidRPr="005E100A" w:rsidTr="005722F2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10</w:t>
            </w:r>
          </w:p>
        </w:tc>
      </w:tr>
      <w:tr w:rsidR="001D4603" w:rsidRPr="005E100A" w:rsidTr="005722F2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</w:tr>
      <w:tr w:rsidR="001D4603" w:rsidRPr="005E100A" w:rsidTr="00BE5CD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1D4603" w:rsidRPr="005E100A" w:rsidTr="00BE5CD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F47" w:rsidRDefault="00B50F47">
      <w:pPr>
        <w:spacing w:after="0" w:line="240" w:lineRule="auto"/>
      </w:pPr>
      <w:r>
        <w:separator/>
      </w:r>
    </w:p>
  </w:endnote>
  <w:endnote w:type="continuationSeparator" w:id="0">
    <w:p w:rsidR="00B50F47" w:rsidRDefault="00B50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B50F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30E9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07D11">
      <w:rPr>
        <w:noProof/>
      </w:rPr>
      <w:t>3</w:t>
    </w:r>
    <w:r>
      <w:fldChar w:fldCharType="end"/>
    </w:r>
  </w:p>
  <w:p w:rsidR="00100C71" w:rsidRDefault="00B50F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B50F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F47" w:rsidRDefault="00B50F47">
      <w:pPr>
        <w:spacing w:after="0" w:line="240" w:lineRule="auto"/>
      </w:pPr>
      <w:r>
        <w:separator/>
      </w:r>
    </w:p>
  </w:footnote>
  <w:footnote w:type="continuationSeparator" w:id="0">
    <w:p w:rsidR="00B50F47" w:rsidRDefault="00B50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B50F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B50F47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B50F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03"/>
    <w:rsid w:val="001D4603"/>
    <w:rsid w:val="005722F2"/>
    <w:rsid w:val="00771492"/>
    <w:rsid w:val="009E304D"/>
    <w:rsid w:val="00A30E96"/>
    <w:rsid w:val="00B50F47"/>
    <w:rsid w:val="00CE4121"/>
    <w:rsid w:val="00DE0F1C"/>
    <w:rsid w:val="00F0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E05BF-5EFE-427A-9ABA-8D03113D8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D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4603"/>
  </w:style>
  <w:style w:type="paragraph" w:styleId="Stopka">
    <w:name w:val="footer"/>
    <w:basedOn w:val="Normalny"/>
    <w:link w:val="StopkaZnak"/>
    <w:uiPriority w:val="99"/>
    <w:semiHidden/>
    <w:unhideWhenUsed/>
    <w:rsid w:val="001D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4603"/>
  </w:style>
  <w:style w:type="paragraph" w:styleId="Akapitzlist">
    <w:name w:val="List Paragraph"/>
    <w:basedOn w:val="Normalny"/>
    <w:uiPriority w:val="34"/>
    <w:qFormat/>
    <w:rsid w:val="001D4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1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2023-02-09T20:58:00Z</cp:lastPrinted>
  <dcterms:created xsi:type="dcterms:W3CDTF">2023-02-08T16:06:00Z</dcterms:created>
  <dcterms:modified xsi:type="dcterms:W3CDTF">2023-03-27T20:25:00Z</dcterms:modified>
</cp:coreProperties>
</file>