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Załącznik nr 4 do Zarządzenia Nr RD/Z.0201-3/2020</w:t>
      </w:r>
    </w:p>
    <w:p w:rsidR="00000000" w:rsidDel="00000000" w:rsidP="00000000" w:rsidRDefault="00000000" w:rsidRPr="00000000" w14:paraId="00000002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KARTA 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85"/>
        <w:gridCol w:w="7655"/>
        <w:tblGridChange w:id="0">
          <w:tblGrid>
            <w:gridCol w:w="1985"/>
            <w:gridCol w:w="7655"/>
          </w:tblGrid>
        </w:tblGridChange>
      </w:tblGrid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spacing w:after="60" w:before="60" w:line="259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Projektowanie Przestrzeni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spacing w:after="60" w:before="60" w:line="259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Design, studia licencjackie, 3 semestr </w:t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C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 w j. ang.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59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02124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Space design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-87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3189"/>
        <w:gridCol w:w="3190"/>
        <w:gridCol w:w="3261"/>
        <w:tblGridChange w:id="0">
          <w:tblGrid>
            <w:gridCol w:w="3189"/>
            <w:gridCol w:w="3190"/>
            <w:gridCol w:w="3261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Koordynator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Zespół dydaktyczny</w:t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Joanna Olech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Punktacja ECTS*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kursu (cele kształcenia)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40"/>
        <w:tblGridChange w:id="0">
          <w:tblGrid>
            <w:gridCol w:w="9640"/>
          </w:tblGrid>
        </w:tblGridChange>
      </w:tblGrid>
      <w:tr>
        <w:trPr>
          <w:cantSplit w:val="0"/>
          <w:trHeight w:val="136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Celem kursu jest rozszerzanie horyzontów myślenia o roli i funkcji przestrzeni prywatnej (mieszkalnej) oraz przestrzeni publicznej współczesnego miasta. Zatem obserwacja i analiza zachodzących nieustannie procesów i ich wpływ na przestrzeń egzystencjalną współczesnego użytkownika (dokładnie określoną grupę odbiorców lub instytucję) i jego funkcjonowanie są niezwykle istotnym elementem kursu. Jednocześnie zajęcia są kolejnym,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u w:val="single"/>
                <w:rtl w:val="0"/>
              </w:rPr>
              <w:t xml:space="preserve">najbardziej zaawansowanym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już krokiem na drodze przygotowań studenta do samodzielnego podjęcia pracy projektowej.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Studenci pogłębiają swoją wiedzę i doświadczenie projektowe zdobyte w trakcie kursów: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u w:val="single"/>
                <w:rtl w:val="0"/>
              </w:rPr>
              <w:t xml:space="preserve">Podstawy projektowania przestrzeni (semestr I)  oraz Projektowanie przestrzeni I (semestr II)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realizując kolejne zadane tematy w zakresie przestrzeni publicznej i prywatnej.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W metodologii pracy istotne będzie rozwijanie umiejętności obserwacji, analizy i definiowania problemów indywidualnych i społecznych, ich badanie i przenoszenie/wykorzystywanie w realizowanych projektach.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Studenci uczą się pracy projektowej w oparciu o realia zawodu projektanta przestrzeni miejskich, publicznych oraz małej architektury i wnętrz, krytycznie analizując istniejące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rozwiązania przestrzenne. 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W odniesieniu do przestrzeni miasta (publicznej) rozumieją i uwzględnią w procesie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projektowym wszystkie aspekty „życia architektury” w funkcjonalnej i wspólnej przestrzeni miejskiej, przestrzeni targowej, przestrzeni muzealnej, komercyjnej przestrzeni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ekspozycyjnej, ponadto w niedookreślanej przestrzeni eksperymentalnej oraz symbolicznej.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Zarówno w odniesieniu do przestrzeni mieszkalnej jak i miejskiej istotną kwestią będzie zwrócenie uwagi na aspekty prospołeczne i proekologiczne; poszukiwanie rozwiązań projektowych alternatywnych dla problemów globalizacji, gentryfikacji, zanieczyszczenia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środowiska i nadmiernej konsumpcji; dostępność przestrzeni i projektowanie uniwersalne, poszukiwanie nowych alternatywnych funkcji; wpływu technologii.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Kurs prowadzony jest w języku polskim.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Warunki wstępne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98.0" w:type="dxa"/>
        <w:jc w:val="left"/>
        <w:tblInd w:w="-145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99"/>
        <w:gridCol w:w="7699"/>
        <w:tblGridChange w:id="0">
          <w:tblGrid>
            <w:gridCol w:w="1999"/>
            <w:gridCol w:w="7699"/>
          </w:tblGrid>
        </w:tblGridChange>
      </w:tblGrid>
      <w:tr>
        <w:trPr>
          <w:cantSplit w:val="0"/>
          <w:trHeight w:val="55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Posiada rozbudowaną świadomość plastyczną, projektową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Zna podstawowe zagadnienia z zakresu historii sztuki,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designu i projektowania przestrzeni i wnętrz na tle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historycznym i w odniesieniu do współczesności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Orientuje się we współczesnych tendencjach i nurtach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Projektowych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Posiada wiedzę teoretyczną dotyczącą technik i technologii stosowanych w realizacji prac artystycznych, którą jest w stanie rozwijać i twórczo stosować w profesjonalnej działalności projektowej.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Posiada umiejętności kreatywnego posługiwania się środkami plastycznymi (rysunek odręczny, prezentacyjny, modelowanie i makietowanie i inne formy rysunkowo malarskie)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Posiada więcej niż podstawowe umiejętności korzystania z wybranych programów do grafiki 2d i 3d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Potrafi myśleć kreatywnie i twórczo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 wyobraźnię przestrzenną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Potrafi pracować zespołowo i indywidualnie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Posługuje się metodami i procedurami projektowania łączącymi aspekty funkcjonalno-ergonomiczne jednocześnie stosując oryginalne podejścia, uwzględniające nowe osiągnięcia konstrukcyjno-technologiczne, estetyczne, prawne oraz rynkowe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Kursy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Podstawy projektowania przestrzeni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Podstawy projektowania przestrzeni I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Edytory graficzne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Komputerowe wspomaganie projektowania 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Komputerowe wspomaganie projektowania CAD II</w: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Komputerowe wspomaganie projektowania CAD III</w:t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Komputerowe wspomaganie projektowania CAD IV</w:t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Rysunek koncepcyjny i techniczny</w:t>
            </w:r>
          </w:p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15.0" w:type="dxa"/>
        <w:jc w:val="left"/>
        <w:tblInd w:w="-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418"/>
        <w:gridCol w:w="6037"/>
        <w:gridCol w:w="2160"/>
        <w:tblGridChange w:id="0">
          <w:tblGrid>
            <w:gridCol w:w="1418"/>
            <w:gridCol w:w="6037"/>
            <w:gridCol w:w="2160"/>
          </w:tblGrid>
        </w:tblGridChange>
      </w:tblGrid>
      <w:tr>
        <w:trPr>
          <w:cantSplit w:val="0"/>
          <w:trHeight w:val="930" w:hRule="atLeast"/>
          <w:tblHeader w:val="0"/>
        </w:trPr>
        <w:tc>
          <w:tcPr>
            <w:vMerge w:val="restart"/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6B">
            <w:pPr>
              <w:widowControl w:val="1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6C">
            <w:pPr>
              <w:widowControl w:val="1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6D">
            <w:pPr>
              <w:widowControl w:val="1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0" w:hRule="atLeast"/>
          <w:tblHeader w:val="0"/>
        </w:trPr>
        <w:tc>
          <w:tcPr>
            <w:vMerge w:val="continue"/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W_01 - Rozumie znaczenie potrzeb współczesnego</w:t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użytkownika w obliczu zachodzących nieustannie</w:t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dynamicznych procesów w kontekście projektowania</w:t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szeroko pojętej przestrzeni prywatnej i publicznej</w:t>
            </w:r>
          </w:p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W_02 - Zna i rozumie konieczność stosowania zasad</w:t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projektowania uniwersalnego i zrównoważonego</w:t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W_03 - Posiada wiedzę teoretyczną dotyczącą wybranych</w:t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technik, technologii oraz materiałów stosowanych w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realizacji projektów wnętrz, przestrzeni publicznych,</w:t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elementów małej architektury</w:t>
            </w:r>
          </w:p>
          <w:p w:rsidR="00000000" w:rsidDel="00000000" w:rsidP="00000000" w:rsidRDefault="00000000" w:rsidRPr="00000000" w14:paraId="0000007B">
            <w:pPr>
              <w:widowControl w:val="1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5b3d7" w:space="0" w:sz="6" w:val="single"/>
              <w:left w:color="95b3d7" w:space="0" w:sz="6" w:val="single"/>
              <w:bottom w:color="95b3d7" w:space="0" w:sz="6" w:val="single"/>
              <w:right w:color="95b3d7" w:space="0" w:sz="6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K_W07</w:t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K_W07, K_W10, K_W13</w:t>
            </w:r>
          </w:p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1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K_W15, K_W13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706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430"/>
        <w:gridCol w:w="5800"/>
        <w:gridCol w:w="2476"/>
        <w:tblGridChange w:id="0">
          <w:tblGrid>
            <w:gridCol w:w="1430"/>
            <w:gridCol w:w="5800"/>
            <w:gridCol w:w="2476"/>
          </w:tblGrid>
        </w:tblGridChange>
      </w:tblGrid>
      <w:tr>
        <w:trPr>
          <w:cantSplit w:val="1"/>
          <w:trHeight w:val="939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2116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U_01 - Posiada umiejętność kreowania oryginalnych,</w:t>
            </w:r>
          </w:p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autorskich rozwiązań przestrzennych z odpowiednim</w:t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wykorzystaniem poznanego warsztatu projektowego.</w:t>
            </w:r>
          </w:p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U_02 - Potrafi uwzględnić i prawidłowo wykorzystać w</w:t>
            </w:r>
          </w:p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swojej pracy elementy projektowania ergonomicznego,</w:t>
            </w:r>
          </w:p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uniwersalnego, zrównoważonego, aspektów</w:t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technologicznych i rynkowych</w:t>
            </w:r>
          </w:p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U_03 - Potrafi przygotować i zaprezentować publicznie</w:t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własny projekt za pomocą wybranych środków i technik.</w:t>
            </w:r>
          </w:p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K_U01, K_U02, K_U03, K_U07,</w:t>
            </w:r>
          </w:p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K_U12, K_U13,</w:t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K_U05, K_U06,</w:t>
            </w:r>
          </w:p>
        </w:tc>
      </w:tr>
    </w:tbl>
    <w:p w:rsidR="00000000" w:rsidDel="00000000" w:rsidP="00000000" w:rsidRDefault="00000000" w:rsidRPr="00000000" w14:paraId="000000A5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80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Kompetencje społeczne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98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K_01- Umie dokonać konstruktywnej krytyki, zarówno</w:t>
            </w:r>
          </w:p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pozytywnej, jak i negatywnej, pracy własnej oraz kolegów, posiada zdolność argumentowania z wykorzystaniem własnych poglądów oraz poglądów innych autorów, ma zdolność formułowania wniosków oraz tworzenia syntetycznych podsumowań</w:t>
            </w:r>
          </w:p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K_02- Potrafi pracować samodzielnie jak i zespołowo </w:t>
              <w:br w:type="textWrapping"/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K_03- Wykazuje się kreatywnością, empatią,</w:t>
            </w:r>
          </w:p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odpowiedzialnością oraz wielotorowym</w:t>
            </w:r>
          </w:p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podejściem do dziedziny projektowej i analizowanego</w:t>
            </w:r>
          </w:p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problemu, jest samodzielny, elastyczny i potrafi stosować automotywację na podstawie zdobytej wiedzy oraz doświadczeń zdobytych w trakcie procesu projektowego</w:t>
            </w:r>
            <w:r w:rsidDel="00000000" w:rsidR="00000000" w:rsidRPr="00000000">
              <w:rPr>
                <w:rFonts w:ascii="Calibri" w:cs="Calibri" w:eastAsia="Calibri" w:hAnsi="Calibri"/>
                <w:color w:val="c00000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K_K06, K_K03, </w:t>
            </w:r>
          </w:p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K_K09, K_K03,</w:t>
            </w:r>
          </w:p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K_K02, K_K04</w:t>
            </w:r>
          </w:p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9.999999999998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  <w:tblGridChange w:id="0">
          <w:tblGrid>
            <w:gridCol w:w="1611"/>
            <w:gridCol w:w="1225"/>
            <w:gridCol w:w="850"/>
            <w:gridCol w:w="272"/>
            <w:gridCol w:w="862"/>
            <w:gridCol w:w="315"/>
            <w:gridCol w:w="819"/>
            <w:gridCol w:w="284"/>
            <w:gridCol w:w="850"/>
            <w:gridCol w:w="284"/>
            <w:gridCol w:w="850"/>
            <w:gridCol w:w="284"/>
            <w:gridCol w:w="850"/>
            <w:gridCol w:w="284"/>
          </w:tblGrid>
        </w:tblGridChange>
      </w:tblGrid>
      <w:tr>
        <w:trPr>
          <w:cantSplit w:val="1"/>
          <w:trHeight w:val="424" w:hRule="atLeast"/>
          <w:tblHeader w:val="0"/>
        </w:trPr>
        <w:tc>
          <w:tcPr>
            <w:gridSpan w:val="14"/>
            <w:shd w:fill="dbe5f1" w:val="clear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45" w:right="137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Organizacja</w:t>
            </w:r>
          </w:p>
        </w:tc>
      </w:tr>
      <w:tr>
        <w:trPr>
          <w:cantSplit w:val="1"/>
          <w:trHeight w:val="65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 zajęć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(W)</w:t>
            </w:r>
          </w:p>
        </w:tc>
        <w:tc>
          <w:tcPr>
            <w:gridSpan w:val="1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grupach</w:t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metod prowadzenia zajęć</w:t>
      </w:r>
    </w:p>
    <w:tbl>
      <w:tblPr>
        <w:tblStyle w:val="Table9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Wprowadzenie do problematyki zajęć.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Przedstawienie tematów i zapoznanie ze szczegółami i wymogami dotyczącymi realizacji projektu semestralnego </w:t>
              <w:br w:type="textWrapping"/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Realizowanie poszczególnych etapów projektowych oraz analiza i próba rozwiązania indywidualnych problemów w ramach pracy własnej studentów i cotygodniowych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konsultacji indywidualnych.</w:t>
              <w:br w:type="textWrapping"/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Oddanie projektu w postaci elektronicznej (pdf), szczegółowej prezentacji obrazującej kolejne etapy procesu projektowego.</w:t>
              <w:br w:type="textWrapping"/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 Końcowa, publiczna prezentacja przed pozostałymi uczestnikami kursu i prowadzącym połączona z ogólną dyskusją.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 Ocena i omówienie prac (kurs zakończony zaliczeniem z oceną- ZO)</w:t>
            </w:r>
          </w:p>
          <w:p w:rsidR="00000000" w:rsidDel="00000000" w:rsidP="00000000" w:rsidRDefault="00000000" w:rsidRPr="00000000" w14:paraId="00000127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Formy sprawdzania efektów uczenia się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1.000000000002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  <w:tblGridChange w:id="0">
          <w:tblGrid>
            <w:gridCol w:w="962"/>
            <w:gridCol w:w="666"/>
            <w:gridCol w:w="666"/>
            <w:gridCol w:w="666"/>
            <w:gridCol w:w="666"/>
            <w:gridCol w:w="666"/>
            <w:gridCol w:w="666"/>
            <w:gridCol w:w="666"/>
            <w:gridCol w:w="666"/>
            <w:gridCol w:w="564"/>
            <w:gridCol w:w="769"/>
            <w:gridCol w:w="666"/>
            <w:gridCol w:w="666"/>
            <w:gridCol w:w="666"/>
          </w:tblGrid>
        </w:tblGridChange>
      </w:tblGrid>
      <w:tr>
        <w:trPr>
          <w:cantSplit w:val="1"/>
          <w:trHeight w:val="1616" w:hRule="atLeast"/>
          <w:tblHeader w:val="0"/>
        </w:trPr>
        <w:tc>
          <w:tcPr>
            <w:tcBorders>
              <w:bottom w:color="95b3d7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12B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C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 – learning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D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Gry dydaktyczne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E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Ćwiczenia w szkole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F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Zajęcia terenowe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0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laboratoryjna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1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indywidualny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2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grupowy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3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Udział w dyskusji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4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Referat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5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pisemna (esej)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6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ustny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7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pisemny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8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Inne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8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Kryteria oceny</w:t>
            </w:r>
          </w:p>
        </w:tc>
        <w:tc>
          <w:tcPr/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Ocena na podstawie: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twórczego, aktywnego i zaangażowanego podejścia do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realizowanego zadania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frekwencji (2 nieusprawiedliwione nieobecności)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umiejętności pracy w zespole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semestralnego przeglądu i publicznej prezentacji projektów w uzgodnionej formule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-przedmiot zakończony zaliczeniem z oceną (ZO)</w:t>
            </w:r>
          </w:p>
        </w:tc>
      </w:tr>
    </w:tbl>
    <w:p w:rsidR="00000000" w:rsidDel="00000000" w:rsidP="00000000" w:rsidRDefault="00000000" w:rsidRPr="00000000" w14:paraId="000001C2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108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C4">
            <w:pPr>
              <w:spacing w:after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Uwagi</w:t>
            </w:r>
          </w:p>
        </w:tc>
        <w:tc>
          <w:tcPr/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</w:t>
            </w:r>
          </w:p>
        </w:tc>
      </w:tr>
    </w:tbl>
    <w:p w:rsidR="00000000" w:rsidDel="00000000" w:rsidP="00000000" w:rsidRDefault="00000000" w:rsidRPr="00000000" w14:paraId="000001C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Treści merytoryczne </w:t>
      </w:r>
    </w:p>
    <w:p w:rsidR="00000000" w:rsidDel="00000000" w:rsidP="00000000" w:rsidRDefault="00000000" w:rsidRPr="00000000" w14:paraId="000001C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505" w:hRule="atLeast"/>
          <w:tblHeader w:val="0"/>
        </w:trPr>
        <w:tc>
          <w:tcPr/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Temat: Adaptacja skweru „Kółeczko” na Krakowskim Kazimierzu na cele rekreacyjno-kulturalne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Zadaniem studentów jest zaprojektowanie przestrzeni publicznej - istniejącego skweru miejskiego.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Projekt może przyjąć kształt pojedynczego, zwartego obiektu lub formę wieloelementowej struktury rozproszonej w przestrzeni placu. W projekcie można zastosować powtarzalne systemowe i modułowe rozwiązania, ale także niepowtarzalne i nieregularne formy.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Proponowany projekt przestrzeni powinien w interesujący i innowacyjny sposób wpisywać się w</w:t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historyczną, okalającą plac tkankę miejską. Nowa przestrzeń ma mieć charakter inkluzywny; ma być miejscem integracji, wydarzeń rekreacyjno-kulturalnych dzielnicy, włączając lokalną społeczność, turystów, miejscowe działalności usługowe (puby, galerie) oraz Uniwersytet Pedagogiczny na Podbrzeziu (który również byłby użytkownikiem przestrzeni)</w:t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3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podstawowej</w:t>
      </w:r>
    </w:p>
    <w:p w:rsidR="00000000" w:rsidDel="00000000" w:rsidP="00000000" w:rsidRDefault="00000000" w:rsidRPr="00000000" w14:paraId="000001D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098" w:hRule="atLeast"/>
          <w:tblHeader w:val="0"/>
        </w:trPr>
        <w:tc>
          <w:tcPr/>
          <w:p w:rsidR="00000000" w:rsidDel="00000000" w:rsidP="00000000" w:rsidRDefault="00000000" w:rsidRPr="00000000" w14:paraId="000001D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 Neufert Ernest, Neufert. Podręcznik projektowania architektoniczno budowlanego, Arkady, W-wa 2022</w:t>
              <w:br w:type="textWrapping"/>
            </w:r>
          </w:p>
          <w:p w:rsidR="00000000" w:rsidDel="00000000" w:rsidP="00000000" w:rsidRDefault="00000000" w:rsidRPr="00000000" w14:paraId="000001D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 Norberg-Schulz Christian, Bycie, przestrzeń i architektura, Wydawnictwo Murator, Warszawa 2000.</w:t>
              <w:br w:type="textWrapping"/>
            </w:r>
          </w:p>
          <w:p w:rsidR="00000000" w:rsidDel="00000000" w:rsidP="00000000" w:rsidRDefault="00000000" w:rsidRPr="00000000" w14:paraId="000001D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 Pallasmaa Juhani, Oczy skóry. Architektura i zmysły, Instytut Architektury, Kraków 2012.</w:t>
              <w:br w:type="textWrapping"/>
            </w:r>
          </w:p>
          <w:p w:rsidR="00000000" w:rsidDel="00000000" w:rsidP="00000000" w:rsidRDefault="00000000" w:rsidRPr="00000000" w14:paraId="000001D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 Autoportret. Pismo o dobrej przestrzeni (kolejne numery poświęcone poszczególnym aspektom przestrzeni), wyd. Małopolski Instytut kultury, Kraków od 2002 do chwili Obecnej</w:t>
            </w:r>
          </w:p>
          <w:p w:rsidR="00000000" w:rsidDel="00000000" w:rsidP="00000000" w:rsidRDefault="00000000" w:rsidRPr="00000000" w14:paraId="000001D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uzupełniającej</w:t>
      </w:r>
    </w:p>
    <w:p w:rsidR="00000000" w:rsidDel="00000000" w:rsidP="00000000" w:rsidRDefault="00000000" w:rsidRPr="00000000" w14:paraId="000001D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12" w:hRule="atLeast"/>
          <w:tblHeader w:val="0"/>
        </w:trPr>
        <w:tc>
          <w:tcPr/>
          <w:p w:rsidR="00000000" w:rsidDel="00000000" w:rsidP="00000000" w:rsidRDefault="00000000" w:rsidRPr="00000000" w14:paraId="000001D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 Alexander Christopher, Język wzorców, Gdańskie Wydawnictwo Psychologiczne, Gdańsk 2008.</w:t>
              <w:br w:type="textWrapping"/>
            </w:r>
          </w:p>
          <w:p w:rsidR="00000000" w:rsidDel="00000000" w:rsidP="00000000" w:rsidRDefault="00000000" w:rsidRPr="00000000" w14:paraId="000001D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 Piotr Wołyński red., Formy zamieszkiwania: publiczne i prywatne przestrzenie miasta, Uniwersytet Artystyczny w Poznaniu, Poznań 2010</w:t>
              <w:br w:type="textWrapping"/>
            </w:r>
          </w:p>
          <w:p w:rsidR="00000000" w:rsidDel="00000000" w:rsidP="00000000" w:rsidRDefault="00000000" w:rsidRPr="00000000" w14:paraId="000001E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 Wallis Aleksander, Socjologia przestrzeni, Niezależna Oficyna Wydawnicza, Warszawa 1990</w:t>
              <w:br w:type="textWrapping"/>
            </w:r>
          </w:p>
          <w:p w:rsidR="00000000" w:rsidDel="00000000" w:rsidP="00000000" w:rsidRDefault="00000000" w:rsidRPr="00000000" w14:paraId="000001E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 Lenartowicz J. Krzysztof, Słownik psychologii architektury, wyd. Politechnika Krakowska im. Tadeusza</w:t>
            </w:r>
          </w:p>
          <w:p w:rsidR="00000000" w:rsidDel="00000000" w:rsidP="00000000" w:rsidRDefault="00000000" w:rsidRPr="00000000" w14:paraId="000001E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Kościuszki, Kraków 2010 Kraków 2010</w:t>
              <w:br w:type="textWrapping"/>
            </w:r>
          </w:p>
          <w:p w:rsidR="00000000" w:rsidDel="00000000" w:rsidP="00000000" w:rsidRDefault="00000000" w:rsidRPr="00000000" w14:paraId="000001E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 Gyurkovich Jacek, Architektura w przestrzeni miasta. Wybrane problemy, wyd. Politechnika Krakowska im. Tadeusza Kościuszki, Kraków 2010</w:t>
              <w:br w:type="textWrapping"/>
            </w:r>
          </w:p>
          <w:p w:rsidR="00000000" w:rsidDel="00000000" w:rsidP="00000000" w:rsidRDefault="00000000" w:rsidRPr="00000000" w14:paraId="000001E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6. Rasmussen Steen Eiler, Odczuwanie architektury, Wydawnictwo Murator, Warszawa 1999.</w:t>
              <w:br w:type="textWrapping"/>
            </w:r>
          </w:p>
          <w:p w:rsidR="00000000" w:rsidDel="00000000" w:rsidP="00000000" w:rsidRDefault="00000000" w:rsidRPr="00000000" w14:paraId="000001E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7. Weston Richard, 100 idei, które zmieniły architekturę, wyd. Top Mark Centre, Raszyn 2011</w:t>
            </w:r>
          </w:p>
          <w:p w:rsidR="00000000" w:rsidDel="00000000" w:rsidP="00000000" w:rsidRDefault="00000000" w:rsidRPr="00000000" w14:paraId="000001E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8. Miller Judtih, Martin, Stylowe wnętrza, Wydawnictwo Arkady, Warszawa 2006 </w:t>
            </w:r>
          </w:p>
          <w:p w:rsidR="00000000" w:rsidDel="00000000" w:rsidP="00000000" w:rsidRDefault="00000000" w:rsidRPr="00000000" w14:paraId="000001E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źródła www: www. bryla.pl, 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0563c1"/>
                  <w:sz w:val="20"/>
                  <w:szCs w:val="20"/>
                  <w:u w:val="single"/>
                  <w:rtl w:val="0"/>
                </w:rPr>
                <w:t xml:space="preserve">www.dezeen.com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Bilans godzinowy zgodny z CNPS (Całkowity Nakład Pracy Studenta)</w:t>
      </w:r>
    </w:p>
    <w:p w:rsidR="00000000" w:rsidDel="00000000" w:rsidP="00000000" w:rsidRDefault="00000000" w:rsidRPr="00000000" w14:paraId="000001E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82.0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2766"/>
        <w:gridCol w:w="5750"/>
        <w:gridCol w:w="1066"/>
        <w:tblGridChange w:id="0">
          <w:tblGrid>
            <w:gridCol w:w="2766"/>
            <w:gridCol w:w="5750"/>
            <w:gridCol w:w="1066"/>
          </w:tblGrid>
        </w:tblGridChange>
      </w:tblGrid>
      <w:tr>
        <w:trPr>
          <w:cantSplit w:val="1"/>
          <w:trHeight w:val="33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EF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w kontakcie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0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Wykład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1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3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Konwersatorium (ćwiczenia, laboratorium itd.)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4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</w:t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F7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1"/>
          <w:trHeight w:val="348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F8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pracy studenta bez kontaktu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9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Lektura w ramach przygotowania do zajęć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A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C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D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</w:t>
            </w:r>
          </w:p>
          <w:p w:rsidR="00000000" w:rsidDel="00000000" w:rsidP="00000000" w:rsidRDefault="00000000" w:rsidRPr="00000000" w14:paraId="000001FE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1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0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1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</w:t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do egzaminu/zaliczenia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05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Ogółem bilans czasu pracy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7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100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08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punktów ECTS w zależności od przyjętego przelicznika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7" w:w="11905" w:orient="portrait"/>
      <w:pgMar w:bottom="1276" w:top="1276" w:left="1134" w:right="1134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Calibri"/>
  <w:font w:name="Times New Roman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1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1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1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C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1"/>
        <w:smallCaps w:val="0"/>
        <w:strike w:val="0"/>
        <w:color w:val="8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D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E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Verdana" w:cs="Verdana" w:eastAsia="Verdana" w:hAnsi="Verdana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5B610C"/>
    <w:pPr>
      <w:widowControl w:val="0"/>
      <w:suppressAutoHyphens w:val="1"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 w:val="1"/>
    <w:pPr>
      <w:keepNext w:val="1"/>
      <w:autoSpaceDE w:val="1"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Znakinumeracji" w:customStyle="1">
    <w:name w:val="Znaki numeracji"/>
  </w:style>
  <w:style w:type="character" w:styleId="Numerstrony">
    <w:name w:val="page number"/>
    <w:semiHidden w:val="1"/>
    <w:rPr>
      <w:sz w:val="14"/>
      <w:szCs w:val="14"/>
    </w:rPr>
  </w:style>
  <w:style w:type="paragraph" w:styleId="Tekstpodstawowy">
    <w:name w:val="Body Text"/>
    <w:basedOn w:val="Normalny"/>
    <w:semiHidden w:val="1"/>
    <w:pPr>
      <w:spacing w:after="120"/>
    </w:pPr>
  </w:style>
  <w:style w:type="paragraph" w:styleId="Podpis1" w:customStyle="1">
    <w:name w:val="Podpis1"/>
    <w:basedOn w:val="Normalny"/>
    <w:pPr>
      <w:suppressLineNumbers w:val="1"/>
      <w:spacing w:after="120" w:before="120"/>
    </w:pPr>
    <w:rPr>
      <w:i w:val="1"/>
      <w:iCs w:val="1"/>
    </w:rPr>
  </w:style>
  <w:style w:type="paragraph" w:styleId="Nagwek">
    <w:name w:val="header"/>
    <w:basedOn w:val="Normalny"/>
    <w:next w:val="Tekstpodstawowy"/>
    <w:semiHidden w:val="1"/>
    <w:pPr>
      <w:keepNext w:val="1"/>
      <w:spacing w:after="120" w:before="240"/>
    </w:pPr>
    <w:rPr>
      <w:rFonts w:ascii="Arial" w:cs="Arial" w:hAnsi="Arial"/>
      <w:sz w:val="28"/>
      <w:szCs w:val="28"/>
    </w:rPr>
  </w:style>
  <w:style w:type="paragraph" w:styleId="Lista">
    <w:name w:val="List"/>
    <w:basedOn w:val="Tekstpodstawowy"/>
    <w:semiHidden w:val="1"/>
  </w:style>
  <w:style w:type="paragraph" w:styleId="Stopka">
    <w:name w:val="footer"/>
    <w:basedOn w:val="Normalny"/>
    <w:semiHidden w:val="1"/>
    <w:pPr>
      <w:tabs>
        <w:tab w:val="center" w:pos="4536"/>
        <w:tab w:val="right" w:pos="9072"/>
      </w:tabs>
      <w:autoSpaceDE w:val="1"/>
    </w:pPr>
  </w:style>
  <w:style w:type="paragraph" w:styleId="Zawartotabeli" w:customStyle="1">
    <w:name w:val="Zawartość tabeli"/>
    <w:basedOn w:val="Normalny"/>
    <w:pPr>
      <w:suppressLineNumbers w:val="1"/>
    </w:pPr>
  </w:style>
  <w:style w:type="paragraph" w:styleId="Nagwektabeli" w:customStyle="1">
    <w:name w:val="Nagłówek tabeli"/>
    <w:basedOn w:val="Zawartotabeli"/>
    <w:pPr>
      <w:jc w:val="center"/>
    </w:pPr>
    <w:rPr>
      <w:b w:val="1"/>
      <w:bCs w:val="1"/>
      <w:i w:val="1"/>
      <w:iCs w:val="1"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 w:val="1"/>
    </w:pPr>
  </w:style>
  <w:style w:type="character" w:styleId="Odwoaniedokomentarza">
    <w:name w:val="annotation reference"/>
    <w:semiHidden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 w:val="1"/>
    <w:rPr>
      <w:sz w:val="20"/>
      <w:szCs w:val="20"/>
    </w:rPr>
  </w:style>
  <w:style w:type="paragraph" w:styleId="CommentSubject1" w:customStyle="1">
    <w:name w:val="Comment Subject1"/>
    <w:basedOn w:val="Tekstkomentarza"/>
    <w:next w:val="Tekstkomentarza"/>
    <w:rPr>
      <w:b w:val="1"/>
      <w:bCs w:val="1"/>
    </w:rPr>
  </w:style>
  <w:style w:type="paragraph" w:styleId="BalloonText1" w:customStyle="1">
    <w:name w:val="Balloon Text1"/>
    <w:basedOn w:val="Normalny"/>
    <w:rPr>
      <w:rFonts w:ascii="Tahoma" w:cs="Tahoma" w:hAnsi="Tahoma"/>
      <w:sz w:val="16"/>
      <w:szCs w:val="16"/>
    </w:rPr>
  </w:style>
  <w:style w:type="paragraph" w:styleId="Tekstprzypisudolnego">
    <w:name w:val="footnote text"/>
    <w:basedOn w:val="Normalny"/>
    <w:semiHidden w:val="1"/>
    <w:rPr>
      <w:sz w:val="20"/>
      <w:szCs w:val="20"/>
    </w:rPr>
  </w:style>
  <w:style w:type="character" w:styleId="Odwoanieprzypisudolnego">
    <w:name w:val="footnote reference"/>
    <w:semiHidden w:val="1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BalloonText0" w:customStyle="1">
    <w:name w:val="Balloon Text0"/>
    <w:basedOn w:val="Normalny"/>
    <w:link w:val="TekstdymkaZnak"/>
    <w:uiPriority w:val="99"/>
    <w:semiHidden w:val="1"/>
    <w:unhideWhenUsed w:val="1"/>
    <w:rsid w:val="00827D3B"/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link w:val="BalloonText0"/>
    <w:uiPriority w:val="99"/>
    <w:semiHidden w:val="1"/>
    <w:rsid w:val="00827D3B"/>
    <w:rPr>
      <w:rFonts w:ascii="Tahoma" w:cs="Tahoma" w:hAnsi="Tahoma"/>
      <w:sz w:val="16"/>
      <w:szCs w:val="16"/>
    </w:rPr>
  </w:style>
  <w:style w:type="paragraph" w:styleId="annotationsubject0" w:customStyle="1">
    <w:name w:val="annotation subject0"/>
    <w:basedOn w:val="Tekstkomentarza"/>
    <w:next w:val="Tekstkomentarza"/>
    <w:link w:val="TematkomentarzaZnak"/>
    <w:uiPriority w:val="99"/>
    <w:semiHidden w:val="1"/>
    <w:unhideWhenUsed w:val="1"/>
    <w:rsid w:val="009026FF"/>
    <w:rPr>
      <w:b w:val="1"/>
      <w:bCs w:val="1"/>
    </w:rPr>
  </w:style>
  <w:style w:type="character" w:styleId="TekstkomentarzaZnak" w:customStyle="1">
    <w:name w:val="Tekst komentarza Znak"/>
    <w:basedOn w:val="Domylnaczcionkaakapitu"/>
    <w:link w:val="Tekstkomentarza"/>
    <w:semiHidden w:val="1"/>
    <w:rsid w:val="009026FF"/>
  </w:style>
  <w:style w:type="character" w:styleId="TematkomentarzaZnak" w:customStyle="1">
    <w:name w:val="Temat komentarza Znak"/>
    <w:link w:val="annotationsubject0"/>
    <w:uiPriority w:val="99"/>
    <w:semiHidden w:val="1"/>
    <w:rsid w:val="009026FF"/>
    <w:rPr>
      <w:b w:val="1"/>
      <w:bCs w:val="1"/>
    </w:rPr>
  </w:style>
  <w:style w:type="paragraph" w:styleId="Bezodstpw">
    <w:name w:val="No Spacing"/>
    <w:uiPriority w:val="1"/>
    <w:qFormat w:val="1"/>
    <w:rsid w:val="004F4580"/>
    <w:pPr>
      <w:widowControl w:val="0"/>
      <w:suppressAutoHyphens w:val="1"/>
      <w:autoSpaceDE w:val="0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 w:val="1"/>
    <w:rsid w:val="00D91CB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sid w:val="00D91CBC"/>
    <w:rPr>
      <w:color w:val="605e5c"/>
      <w:shd w:color="auto" w:fill="e1dfdd" w:val="clear"/>
    </w:rPr>
  </w:style>
  <w:style w:type="paragraph" w:styleId="paragraph" w:customStyle="1">
    <w:name w:val="paragraph"/>
    <w:basedOn w:val="Normalny"/>
    <w:rsid w:val="005B610C"/>
    <w:pPr>
      <w:widowControl w:val="1"/>
      <w:suppressAutoHyphens w:val="0"/>
      <w:autoSpaceDE w:val="1"/>
      <w:spacing w:after="100" w:afterAutospacing="1" w:before="100" w:beforeAutospacing="1"/>
    </w:pPr>
  </w:style>
  <w:style w:type="character" w:styleId="normaltextrun" w:customStyle="1">
    <w:name w:val="normaltextrun"/>
    <w:basedOn w:val="Domylnaczcionkaakapitu"/>
    <w:rsid w:val="005B610C"/>
  </w:style>
  <w:style w:type="character" w:styleId="eop" w:customStyle="1">
    <w:name w:val="eop"/>
    <w:basedOn w:val="Domylnaczcionkaakapitu"/>
    <w:rsid w:val="005B610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dezeen.com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qmR4nbfC2cyd2CbdyXSY7abxBw==">CgMxLjA4AHIhMU1UUFhSMGEwT2RPekljUWNQRWVRcDJyY0hMMWNObWNO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2023-09-20T18:45:00Z</dcterms:created>
  <dc:creator>Barbara Wilk</dc:creator>
</cp:coreProperties>
</file>