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itemProps2.xml" ContentType="application/vnd.openxmlformats-officedocument.customXmlProperties+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rFonts w:ascii="Arial" w:hAnsi="Arial" w:cs="Arial"/>
          <w:i/>
          <w:i/>
          <w:sz w:val="22"/>
        </w:rPr>
      </w:pPr>
      <w:r>
        <w:rPr>
          <w:rFonts w:cs="Arial" w:ascii="Arial" w:hAnsi="Arial"/>
          <w:i/>
          <w:sz w:val="22"/>
        </w:rPr>
        <w:t>Załącznik nr 4 do Zarządzenia Nr RD/Z.0201-3/2020</w:t>
      </w:r>
    </w:p>
    <w:p>
      <w:pPr>
        <w:pStyle w:val="Normal"/>
        <w:jc w:val="right"/>
        <w:rPr>
          <w:rFonts w:ascii="Arial" w:hAnsi="Arial" w:cs="Arial"/>
          <w:i/>
          <w:i/>
          <w:sz w:val="22"/>
        </w:rPr>
      </w:pPr>
      <w:r>
        <w:rPr>
          <w:rFonts w:cs="Arial" w:ascii="Arial" w:hAnsi="Arial"/>
          <w:i/>
          <w:sz w:val="22"/>
        </w:rPr>
      </w:r>
    </w:p>
    <w:p>
      <w:pPr>
        <w:pStyle w:val="Normal"/>
        <w:jc w:val="right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agwek1"/>
        <w:rPr>
          <w:rFonts w:ascii="Arial" w:hAnsi="Arial" w:cs="Arial"/>
          <w:sz w:val="22"/>
        </w:rPr>
      </w:pPr>
      <w:r>
        <w:rPr>
          <w:rFonts w:cs="Arial" w:ascii="Arial" w:hAnsi="Arial"/>
          <w:b/>
          <w:bCs/>
          <w:sz w:val="24"/>
        </w:rPr>
        <w:t>KARTA KURSU</w:t>
      </w:r>
    </w:p>
    <w:p>
      <w:pPr>
        <w:pStyle w:val="Normal"/>
        <w:jc w:val="center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</w:r>
    </w:p>
    <w:p>
      <w:pPr>
        <w:pStyle w:val="Normal"/>
        <w:jc w:val="center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</w:r>
    </w:p>
    <w:p>
      <w:pPr>
        <w:pStyle w:val="Normal"/>
        <w:jc w:val="center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</w:r>
    </w:p>
    <w:tbl>
      <w:tblPr>
        <w:tblW w:w="9640" w:type="dxa"/>
        <w:jc w:val="left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0" w:noVBand="0" w:lastRow="0" w:firstColumn="0" w:lastColumn="0" w:noHBand="0" w:val="0000"/>
      </w:tblPr>
      <w:tblGrid>
        <w:gridCol w:w="1982"/>
        <w:gridCol w:w="7657"/>
      </w:tblGrid>
      <w:tr>
        <w:trPr>
          <w:trHeight w:val="395" w:hRule="atLeast"/>
        </w:trPr>
        <w:tc>
          <w:tcPr>
            <w:tcW w:w="198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Nazwa</w:t>
            </w:r>
          </w:p>
        </w:tc>
        <w:tc>
          <w:tcPr>
            <w:tcW w:w="7657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Emotional design</w:t>
            </w:r>
          </w:p>
        </w:tc>
      </w:tr>
      <w:tr>
        <w:trPr>
          <w:trHeight w:val="379" w:hRule="atLeast"/>
        </w:trPr>
        <w:tc>
          <w:tcPr>
            <w:tcW w:w="198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Nazwa w j. ang.</w:t>
            </w:r>
          </w:p>
        </w:tc>
        <w:tc>
          <w:tcPr>
            <w:tcW w:w="7657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Emotional design</w:t>
            </w:r>
          </w:p>
        </w:tc>
      </w:tr>
    </w:tbl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tbl>
      <w:tblPr>
        <w:tblW w:w="9640" w:type="dxa"/>
        <w:jc w:val="left"/>
        <w:tblInd w:w="-8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3186"/>
        <w:gridCol w:w="3190"/>
        <w:gridCol w:w="3264"/>
      </w:tblGrid>
      <w:tr>
        <w:trPr>
          <w:cantSplit w:val="true"/>
        </w:trPr>
        <w:tc>
          <w:tcPr>
            <w:tcW w:w="3186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dr Anna Węgrzyniak</w:t>
            </w:r>
          </w:p>
        </w:tc>
        <w:tc>
          <w:tcPr>
            <w:tcW w:w="326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Zespół dydaktyczny</w:t>
            </w:r>
          </w:p>
        </w:tc>
      </w:tr>
      <w:tr>
        <w:trPr>
          <w:trHeight w:val="344" w:hRule="atLeast"/>
          <w:cantSplit w:val="true"/>
        </w:trPr>
        <w:tc>
          <w:tcPr>
            <w:tcW w:w="3186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190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264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502" w:hRule="atLeast"/>
          <w:cantSplit w:val="true"/>
        </w:trPr>
        <w:tc>
          <w:tcPr>
            <w:tcW w:w="3186" w:type="dxa"/>
            <w:tcBorders>
              <w:top w:val="single" w:sz="2" w:space="0" w:color="95B3D7"/>
              <w:bottom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190" w:type="dxa"/>
            <w:tcBorders>
              <w:top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264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cantSplit w:val="true"/>
        </w:trPr>
        <w:tc>
          <w:tcPr>
            <w:tcW w:w="318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  <w:tc>
          <w:tcPr>
            <w:tcW w:w="3264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  <w:t>Opis kursu (cele kształcenia)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0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9640"/>
      </w:tblGrid>
      <w:tr>
        <w:trPr>
          <w:trHeight w:val="1365" w:hRule="atLeast"/>
        </w:trPr>
        <w:tc>
          <w:tcPr>
            <w:tcW w:w="964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Kurs ma na celu pobudzić niekonwencjonalne i abstrakcyjne myślenie projektowe w odniesieniu do postawionego problemu, materiału, technologii, sytuacji społeczno-kulturowej czy codziennego funkcjonowania. Studenci uczą się nowego sposobu patrzenia na znaczenie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przedmiotu, jego oddziaływanie na użytkownika w sferach: instynktownej, behawioralnej i refleksyjnej. Badają wpływ przedmiotu na emocje użytkownika. Studenci testują, modelują i badają formy, funkcje czy technologie, kreując w ten sposób nowe rozwiązania projektowe, materiałowe czy funkcjonalne.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  <w:t>Warunki wstępne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0" w:type="dxa"/>
        <w:jc w:val="left"/>
        <w:tblInd w:w="-8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1940"/>
        <w:gridCol w:w="7699"/>
      </w:tblGrid>
      <w:tr>
        <w:trPr>
          <w:trHeight w:val="550" w:hRule="atLeast"/>
        </w:trPr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Rozumie znaczenie eksperymentu w procesie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projektowania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</w:tc>
      </w:tr>
      <w:tr>
        <w:trPr>
          <w:trHeight w:val="577" w:hRule="atLeast"/>
        </w:trPr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Umiejętność szukania, przetwarzania i analizowania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informacji z rożnych źródeł.</w:t>
            </w:r>
          </w:p>
        </w:tc>
      </w:tr>
      <w:tr>
        <w:trPr/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 xml:space="preserve">Materiały eksperymentalne, </w:t>
            </w:r>
            <w:r>
              <w:rPr>
                <w:rFonts w:cs="Arial" w:ascii="Arial" w:hAnsi="Arial"/>
                <w:sz w:val="22"/>
                <w:szCs w:val="16"/>
              </w:rPr>
              <w:t>Podstawy projektowania kreacyjnego I, Podstawy projektowania kreacyjnego II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</w:r>
    </w:p>
    <w:p>
      <w:pPr>
        <w:pStyle w:val="Normal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</w:r>
    </w:p>
    <w:p>
      <w:pPr>
        <w:pStyle w:val="Normal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tbl>
      <w:tblPr>
        <w:tblW w:w="9639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1248"/>
        <w:gridCol w:w="6223"/>
        <w:gridCol w:w="2168"/>
      </w:tblGrid>
      <w:tr>
        <w:trPr>
          <w:trHeight w:val="930" w:hRule="atLeast"/>
          <w:cantSplit w:val="true"/>
        </w:trPr>
        <w:tc>
          <w:tcPr>
            <w:tcW w:w="1248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Wiedza</w:t>
            </w:r>
          </w:p>
        </w:tc>
        <w:tc>
          <w:tcPr>
            <w:tcW w:w="622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Efekt uczenia się dla kursu</w:t>
            </w:r>
          </w:p>
        </w:tc>
        <w:tc>
          <w:tcPr>
            <w:tcW w:w="21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Odniesienie do efektów kierunkowych</w:t>
            </w:r>
          </w:p>
        </w:tc>
      </w:tr>
      <w:tr>
        <w:trPr>
          <w:trHeight w:val="1838" w:hRule="atLeast"/>
          <w:cantSplit w:val="true"/>
        </w:trPr>
        <w:tc>
          <w:tcPr>
            <w:tcW w:w="1248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22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 01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Wie jak projektować w sposób technologiczny, potrafi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eksperymentować z wybraną technologią, czy materiałem.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 02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Rozumie psychologiczne i socjologiczne aspekty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projektowe.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 03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Wie jak projektować uwzględniając współczesne potrzeby.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 04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Wykazuje się zaawansowaną wiedzą </w:t>
            </w:r>
            <w:r>
              <w:rPr>
                <w:rFonts w:cs="Arial" w:ascii="Arial" w:hAnsi="Arial"/>
                <w:sz w:val="20"/>
                <w:szCs w:val="20"/>
              </w:rPr>
              <w:t>odnośnie</w:t>
            </w:r>
            <w:r>
              <w:rPr>
                <w:rFonts w:cs="Arial" w:ascii="Arial" w:hAnsi="Arial"/>
                <w:sz w:val="20"/>
                <w:szCs w:val="20"/>
              </w:rPr>
              <w:t xml:space="preserve"> technologii i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problemów konstrukcyjnych.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21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K_W03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K_W07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K_W13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K_W15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b/>
          <w:bCs/>
          <w:sz w:val="22"/>
          <w:szCs w:val="22"/>
          <w:highlight w:val="yellow"/>
        </w:rPr>
      </w:pPr>
      <w:r>
        <w:rPr>
          <w:rFonts w:cs="Arial" w:ascii="Arial" w:hAnsi="Arial"/>
          <w:b/>
          <w:bCs/>
          <w:sz w:val="22"/>
          <w:szCs w:val="22"/>
          <w:highlight w:val="yellow"/>
        </w:rPr>
      </w:r>
    </w:p>
    <w:p>
      <w:pPr>
        <w:pStyle w:val="Normal"/>
        <w:rPr>
          <w:rFonts w:ascii="Arial" w:hAnsi="Arial" w:cs="Arial"/>
          <w:b w:val="false"/>
          <w:bCs w:val="false"/>
          <w:sz w:val="18"/>
          <w:szCs w:val="18"/>
        </w:rPr>
      </w:pPr>
      <w:r>
        <w:rPr>
          <w:rFonts w:cs="Arial" w:ascii="Arial" w:hAnsi="Arial"/>
          <w:b w:val="false"/>
          <w:bCs w:val="false"/>
          <w:sz w:val="18"/>
          <w:szCs w:val="18"/>
        </w:rPr>
      </w:r>
    </w:p>
    <w:tbl>
      <w:tblPr>
        <w:tblW w:w="9640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1427"/>
        <w:gridCol w:w="5803"/>
        <w:gridCol w:w="2410"/>
      </w:tblGrid>
      <w:tr>
        <w:trPr>
          <w:trHeight w:val="939" w:hRule="atLeast"/>
          <w:cantSplit w:val="true"/>
        </w:trPr>
        <w:tc>
          <w:tcPr>
            <w:tcW w:w="1427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580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Odniesienie do efektów kierunkowych</w:t>
            </w:r>
          </w:p>
        </w:tc>
      </w:tr>
      <w:tr>
        <w:trPr>
          <w:trHeight w:val="2116" w:hRule="atLeast"/>
          <w:cantSplit w:val="true"/>
        </w:trPr>
        <w:tc>
          <w:tcPr>
            <w:tcW w:w="1427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580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 01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Umiejętnie buduje prototypy prezentujące wizje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projektową.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 02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Potrafi przeprowadzić proces projektowy w sposób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niekonwencjonalny i eksperymentalny, </w:t>
            </w:r>
            <w:r>
              <w:rPr>
                <w:rFonts w:cs="Arial" w:ascii="Arial" w:hAnsi="Arial"/>
                <w:sz w:val="20"/>
                <w:szCs w:val="20"/>
              </w:rPr>
              <w:t>oddziałujący na człowieka.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 03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Potrafi projektować w grupie </w:t>
            </w:r>
            <w:r>
              <w:rPr>
                <w:rFonts w:cs="Arial" w:ascii="Arial" w:hAnsi="Arial"/>
                <w:sz w:val="20"/>
                <w:szCs w:val="20"/>
              </w:rPr>
              <w:t xml:space="preserve">i </w:t>
            </w:r>
            <w:r>
              <w:rPr>
                <w:rFonts w:cs="Arial" w:ascii="Arial" w:hAnsi="Arial"/>
                <w:sz w:val="20"/>
                <w:szCs w:val="20"/>
              </w:rPr>
              <w:t>we współpracy ze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specjalistami.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 04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Umiejętnie posługuje się poznanymi technikami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modelowania i materiałami w celu realizacji projektów, </w:t>
            </w:r>
            <w:r>
              <w:rPr>
                <w:rFonts w:cs="Arial" w:ascii="Arial" w:hAnsi="Arial"/>
                <w:sz w:val="20"/>
                <w:szCs w:val="20"/>
              </w:rPr>
              <w:t>potrafi wykonać dokumentacje techniczną własnego rozwiązania.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K_U01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K_U06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K_U08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K_U11, </w:t>
            </w:r>
            <w:r>
              <w:rPr>
                <w:rFonts w:cs="Arial" w:ascii="Arial" w:hAnsi="Arial"/>
                <w:sz w:val="20"/>
                <w:szCs w:val="20"/>
              </w:rPr>
              <w:t>K_U05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  <w:highlight w:val="yellow"/>
        </w:rPr>
      </w:pPr>
      <w:r>
        <w:rPr>
          <w:rFonts w:cs="Arial" w:ascii="Arial" w:hAnsi="Arial"/>
          <w:sz w:val="22"/>
          <w:szCs w:val="22"/>
          <w:highlight w:val="yellow"/>
        </w:rPr>
      </w:r>
    </w:p>
    <w:tbl>
      <w:tblPr>
        <w:tblW w:w="9640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1982"/>
        <w:gridCol w:w="5248"/>
        <w:gridCol w:w="2410"/>
      </w:tblGrid>
      <w:tr>
        <w:trPr>
          <w:trHeight w:val="800" w:hRule="atLeast"/>
          <w:cantSplit w:val="true"/>
        </w:trPr>
        <w:tc>
          <w:tcPr>
            <w:tcW w:w="1982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Kompetencje społeczne</w:t>
            </w:r>
          </w:p>
        </w:tc>
        <w:tc>
          <w:tcPr>
            <w:tcW w:w="52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Odniesienie do efektów kierunkowych</w:t>
            </w:r>
          </w:p>
        </w:tc>
      </w:tr>
      <w:tr>
        <w:trPr>
          <w:trHeight w:val="1984" w:hRule="atLeast"/>
          <w:cantSplit w:val="true"/>
        </w:trPr>
        <w:tc>
          <w:tcPr>
            <w:tcW w:w="1982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52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 1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Ma zmysł społecznej obserwacji i abstrakcyjnego myślenia.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K2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Potrafi pracować konceptualnie, podejmując wyzwania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współczesnego projektowania.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K_K04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K_K07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0" w:type="dxa"/>
        <w:jc w:val="left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0" w:noVBand="0" w:lastRow="0" w:firstColumn="0" w:lastColumn="0" w:noHBand="0" w:val="0000"/>
      </w:tblPr>
      <w:tblGrid>
        <w:gridCol w:w="1608"/>
        <w:gridCol w:w="1228"/>
        <w:gridCol w:w="850"/>
        <w:gridCol w:w="272"/>
        <w:gridCol w:w="862"/>
        <w:gridCol w:w="315"/>
        <w:gridCol w:w="818"/>
        <w:gridCol w:w="286"/>
        <w:gridCol w:w="849"/>
        <w:gridCol w:w="283"/>
        <w:gridCol w:w="850"/>
        <w:gridCol w:w="287"/>
        <w:gridCol w:w="847"/>
        <w:gridCol w:w="284"/>
      </w:tblGrid>
      <w:tr>
        <w:trPr>
          <w:trHeight w:val="424" w:hRule="exact"/>
          <w:cantSplit w:val="true"/>
        </w:trPr>
        <w:tc>
          <w:tcPr>
            <w:tcW w:w="9639" w:type="dxa"/>
            <w:gridSpan w:val="14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ind w:left="45" w:right="137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Organizacja</w:t>
            </w:r>
          </w:p>
        </w:tc>
      </w:tr>
      <w:tr>
        <w:trPr>
          <w:trHeight w:val="654" w:hRule="atLeast"/>
          <w:cantSplit w:val="true"/>
        </w:trPr>
        <w:tc>
          <w:tcPr>
            <w:tcW w:w="1608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Forma zajęć</w:t>
            </w:r>
          </w:p>
        </w:tc>
        <w:tc>
          <w:tcPr>
            <w:tcW w:w="1228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Wykład</w:t>
            </w:r>
          </w:p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(W)</w:t>
            </w:r>
          </w:p>
        </w:tc>
        <w:tc>
          <w:tcPr>
            <w:tcW w:w="6803" w:type="dxa"/>
            <w:gridSpan w:val="1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Ćwiczenia w grupach</w:t>
            </w:r>
          </w:p>
        </w:tc>
      </w:tr>
      <w:tr>
        <w:trPr>
          <w:trHeight w:val="477" w:hRule="atLeast"/>
          <w:cantSplit w:val="true"/>
        </w:trPr>
        <w:tc>
          <w:tcPr>
            <w:tcW w:w="1608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28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6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1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L</w:t>
            </w:r>
          </w:p>
        </w:tc>
        <w:tc>
          <w:tcPr>
            <w:tcW w:w="28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S</w:t>
            </w:r>
          </w:p>
        </w:tc>
        <w:tc>
          <w:tcPr>
            <w:tcW w:w="28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</w:t>
            </w:r>
          </w:p>
        </w:tc>
        <w:tc>
          <w:tcPr>
            <w:tcW w:w="287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47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499" w:hRule="atLeast"/>
        </w:trPr>
        <w:tc>
          <w:tcPr>
            <w:tcW w:w="160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Liczba godzin</w:t>
            </w:r>
          </w:p>
        </w:tc>
        <w:tc>
          <w:tcPr>
            <w:tcW w:w="122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2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77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0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45</w:t>
            </w:r>
          </w:p>
        </w:tc>
        <w:tc>
          <w:tcPr>
            <w:tcW w:w="113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7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1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462" w:hRule="atLeast"/>
        </w:trPr>
        <w:tc>
          <w:tcPr>
            <w:tcW w:w="160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2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2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77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0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7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1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Zawartotabeli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  <w:t>Opis metod prowadzenia zajęć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22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9622"/>
      </w:tblGrid>
      <w:tr>
        <w:trPr>
          <w:trHeight w:val="1920" w:hRule="atLeast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Zawartotabeli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1. Wprowadzenie do problematyki zajęć.</w:t>
            </w:r>
          </w:p>
          <w:p>
            <w:pPr>
              <w:pStyle w:val="Zawartotabeli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2. Zapoznanie z temat</w:t>
            </w:r>
            <w:r>
              <w:rPr>
                <w:rFonts w:cs="Arial" w:ascii="Arial" w:hAnsi="Arial"/>
                <w:sz w:val="22"/>
                <w:szCs w:val="16"/>
              </w:rPr>
              <w:t>em.</w:t>
            </w:r>
          </w:p>
          <w:p>
            <w:pPr>
              <w:pStyle w:val="Zawartotabeli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3. Praca własna studentów plus konsultacje indywidualne.</w:t>
            </w:r>
          </w:p>
          <w:p>
            <w:pPr>
              <w:pStyle w:val="Zawartotabeli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4. Akceptacja projektów.</w:t>
            </w:r>
          </w:p>
          <w:p>
            <w:pPr>
              <w:pStyle w:val="Zawartotabeli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5. Makietowanie.</w:t>
            </w:r>
          </w:p>
          <w:p>
            <w:pPr>
              <w:pStyle w:val="Zawartotabeli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6. Prezentacja i omówienie prac.</w:t>
            </w:r>
          </w:p>
          <w:p>
            <w:pPr>
              <w:pStyle w:val="Zawartotabeli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7. Ocena.</w:t>
            </w:r>
          </w:p>
        </w:tc>
      </w:tr>
    </w:tbl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  <w:t>Formy sprawdzania efektów uczenia się</w:t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2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62"/>
        <w:gridCol w:w="663"/>
        <w:gridCol w:w="668"/>
        <w:gridCol w:w="667"/>
        <w:gridCol w:w="666"/>
        <w:gridCol w:w="664"/>
        <w:gridCol w:w="667"/>
        <w:gridCol w:w="667"/>
        <w:gridCol w:w="666"/>
        <w:gridCol w:w="564"/>
        <w:gridCol w:w="768"/>
        <w:gridCol w:w="667"/>
        <w:gridCol w:w="668"/>
        <w:gridCol w:w="663"/>
      </w:tblGrid>
      <w:tr>
        <w:trPr>
          <w:trHeight w:val="1616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E – </w:t>
            </w:r>
            <w:r>
              <w:rPr>
                <w:rFonts w:cs="Arial" w:ascii="Arial" w:hAnsi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Gry dydaktyczne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Zajęcia terenowe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Praca laboratoryjna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Projekt indywidualny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Referat</w:t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Praca pisemna (esej)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Egzamin ustny</w:t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Egzamin pisemny</w:t>
            </w:r>
          </w:p>
        </w:tc>
        <w:tc>
          <w:tcPr>
            <w:tcW w:w="6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Inne</w:t>
            </w:r>
          </w:p>
        </w:tc>
      </w:tr>
      <w:tr>
        <w:trPr>
          <w:trHeight w:val="244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BalloonText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W01</w:t>
            </w:r>
          </w:p>
        </w:tc>
        <w:tc>
          <w:tcPr>
            <w:tcW w:w="6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W02</w:t>
            </w:r>
          </w:p>
        </w:tc>
        <w:tc>
          <w:tcPr>
            <w:tcW w:w="6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W03</w:t>
            </w:r>
          </w:p>
        </w:tc>
        <w:tc>
          <w:tcPr>
            <w:tcW w:w="663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3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W04</w:t>
            </w:r>
          </w:p>
        </w:tc>
        <w:tc>
          <w:tcPr>
            <w:tcW w:w="663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3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44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U01</w:t>
            </w:r>
          </w:p>
        </w:tc>
        <w:tc>
          <w:tcPr>
            <w:tcW w:w="6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U02</w:t>
            </w:r>
          </w:p>
        </w:tc>
        <w:tc>
          <w:tcPr>
            <w:tcW w:w="6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U03</w:t>
            </w:r>
          </w:p>
        </w:tc>
        <w:tc>
          <w:tcPr>
            <w:tcW w:w="663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3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U04</w:t>
            </w:r>
          </w:p>
        </w:tc>
        <w:tc>
          <w:tcPr>
            <w:tcW w:w="663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3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44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K01</w:t>
            </w:r>
          </w:p>
        </w:tc>
        <w:tc>
          <w:tcPr>
            <w:tcW w:w="6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K02</w:t>
            </w:r>
          </w:p>
        </w:tc>
        <w:tc>
          <w:tcPr>
            <w:tcW w:w="6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...</w:t>
            </w:r>
          </w:p>
        </w:tc>
        <w:tc>
          <w:tcPr>
            <w:tcW w:w="6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</w:tbl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0" w:type="dxa"/>
        <w:jc w:val="left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0" w:noVBand="0" w:lastRow="0" w:firstColumn="0" w:lastColumn="0" w:noHBand="0" w:val="0000"/>
      </w:tblPr>
      <w:tblGrid>
        <w:gridCol w:w="1940"/>
        <w:gridCol w:w="7699"/>
      </w:tblGrid>
      <w:tr>
        <w:trPr/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 xml:space="preserve"> </w:t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Ocena na podstawie przeglądu prac,</w:t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twórczego podejścia do ćwiczeń, zaangażowania studenta w wykonywane</w:t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zadanie oraz frekwencji.</w:t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0" w:type="dxa"/>
        <w:jc w:val="left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0" w:noVBand="0" w:lastRow="0" w:firstColumn="0" w:lastColumn="0" w:noHBand="0" w:val="0000"/>
      </w:tblPr>
      <w:tblGrid>
        <w:gridCol w:w="1940"/>
        <w:gridCol w:w="7699"/>
      </w:tblGrid>
      <w:tr>
        <w:trPr>
          <w:trHeight w:val="1089" w:hRule="atLeast"/>
        </w:trPr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before="0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Uwagi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Możliwe maksymalnie 2 nieusprawiedliwione nieobecności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Treści merytoryczne (wykaz tematów)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22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9622"/>
      </w:tblGrid>
      <w:tr>
        <w:trPr>
          <w:trHeight w:val="1136" w:hRule="atLeast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 xml:space="preserve">Tematyka projektowania emocjonalnego oraz rytuału w designie. 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 xml:space="preserve">Zagadnienie dotyczące nowego sposobu patrzenia na przedmiot oraz jego znaczenie. 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Wydane studentom zadanie ma na celu spojrzenie na produkt w kontekście jego oddziaływania na użytkownika w trzech sferach: instynktownej, behawioralnej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i refleksyjnej. Odnalezienie i zaprojektowanie wpływu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produktu na emocje odbiorcy. Praca poprzedzona wizytą w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Muzeum Etnograficznym, gdzie studenci w kontakcie z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dawną kulturą ludową starają się odnaleźć rytuały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współczesnych czasów, zwracając uwagę na znaczenie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wybranego materiału oraz funkcję przedmiotów. Zadanie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realizowane w grupach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Wykaz literatury podstawowej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22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9622"/>
      </w:tblGrid>
      <w:tr>
        <w:trPr>
          <w:trHeight w:val="1098" w:hRule="atLeast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1. Don Norman, Emotional Design.</w:t>
            </w:r>
            <w:r>
              <w:rPr>
                <w:rFonts w:cs="Arial" w:ascii="Arial" w:hAnsi="Arial"/>
                <w:color w:val="000000"/>
                <w:sz w:val="22"/>
                <w:szCs w:val="22"/>
              </w:rPr>
              <w:t xml:space="preserve"> </w:t>
            </w:r>
            <w:r>
              <w:rPr>
                <w:rFonts w:cs="Arial" w:ascii="Arial;Verdana;Helvetica;sans-serif" w:hAnsi="Arial;Verdana;Helvetica;sans-serif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  <w:t>Why We Love (or Hate) Everyday Things</w:t>
            </w:r>
            <w:r>
              <w:rPr>
                <w:rFonts w:cs="Arial"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  <w:t xml:space="preserve">, </w:t>
            </w:r>
            <w:r>
              <w:rPr>
                <w:rFonts w:cs="Arial"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  <w:t>Basic Books 2005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2</w:t>
            </w:r>
            <w:r>
              <w:rPr>
                <w:rFonts w:cs="Arial" w:ascii="Arial" w:hAnsi="Arial"/>
                <w:sz w:val="22"/>
                <w:szCs w:val="16"/>
              </w:rPr>
              <w:t>. Don Norman, Dizajn na co dzień, Wydawnictwo Karakter,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Kraków 2014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3</w:t>
            </w:r>
            <w:r>
              <w:rPr>
                <w:rFonts w:cs="Arial" w:ascii="Arial" w:hAnsi="Arial"/>
                <w:sz w:val="22"/>
                <w:szCs w:val="16"/>
              </w:rPr>
              <w:t>. Why Materials Matter: Responsible Design for a Better World, Seetal Solanki,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Prestel, 2018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/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/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  <w:t>Wykaz literatury uzupełniającej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22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9622"/>
      </w:tblGrid>
      <w:tr>
        <w:trPr>
          <w:trHeight w:val="1112" w:hRule="atLeast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1. Materiology, Daniel Kula and Elodie Ternaux, associated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author Quentin Hirsinger, Frame Publishers Amsterdam,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Birkhäuser Verlag GmbH, 2014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2.</w:t>
            </w:r>
            <w:r>
              <w:rPr>
                <w:rFonts w:cs="Arial" w:ascii="Arial" w:hAnsi="Arial"/>
                <w:sz w:val="22"/>
                <w:szCs w:val="16"/>
              </w:rPr>
              <w:t xml:space="preserve"> </w:t>
            </w:r>
            <w:r>
              <w:rPr>
                <w:rFonts w:cs="Arial" w:ascii="Arial" w:hAnsi="Arial"/>
                <w:sz w:val="22"/>
                <w:szCs w:val="16"/>
              </w:rPr>
              <w:t>Envisions - product in process (part 1 i part 2), April 2017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/>
              <w:t>Prestel, 2018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/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BalloonText"/>
        <w:rPr>
          <w:rFonts w:ascii="Arial" w:hAnsi="Arial" w:cs="Arial"/>
          <w:sz w:val="22"/>
        </w:rPr>
      </w:pPr>
      <w:r>
        <w:rPr>
          <w:rFonts w:cs="Arial" w:ascii="Arial" w:hAnsi="Arial"/>
          <w:sz w:val="22"/>
        </w:rPr>
      </w:r>
    </w:p>
    <w:p>
      <w:pPr>
        <w:pStyle w:val="BalloonText"/>
        <w:rPr>
          <w:rFonts w:ascii="Arial" w:hAnsi="Arial" w:cs="Arial"/>
          <w:sz w:val="22"/>
        </w:rPr>
      </w:pPr>
      <w:r>
        <w:rPr>
          <w:rFonts w:cs="Arial" w:ascii="Arial" w:hAnsi="Arial"/>
          <w:sz w:val="22"/>
        </w:rPr>
        <w:t>Bilans godzinowy zgodny z CNPS (Całkowity Nakład Pracy Studenta)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58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766"/>
        <w:gridCol w:w="5747"/>
        <w:gridCol w:w="1069"/>
      </w:tblGrid>
      <w:tr>
        <w:trPr>
          <w:trHeight w:val="334" w:hRule="atLeast"/>
          <w:cantSplit w:val="true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liczba godzin w kontakcie z prowadzącymi</w:t>
            </w:r>
          </w:p>
        </w:tc>
        <w:tc>
          <w:tcPr>
            <w:tcW w:w="574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-</w:t>
            </w:r>
          </w:p>
        </w:tc>
      </w:tr>
      <w:tr>
        <w:trPr>
          <w:trHeight w:val="332" w:hRule="atLeast"/>
          <w:cantSplit w:val="true"/>
        </w:trPr>
        <w:tc>
          <w:tcPr>
            <w:tcW w:w="2766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  <w:tc>
          <w:tcPr>
            <w:tcW w:w="574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45</w:t>
            </w:r>
          </w:p>
        </w:tc>
      </w:tr>
      <w:tr>
        <w:trPr>
          <w:trHeight w:val="670" w:hRule="atLeast"/>
          <w:cantSplit w:val="true"/>
        </w:trPr>
        <w:tc>
          <w:tcPr>
            <w:tcW w:w="2766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  <w:tc>
          <w:tcPr>
            <w:tcW w:w="574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5</w:t>
            </w:r>
          </w:p>
        </w:tc>
      </w:tr>
      <w:tr>
        <w:trPr>
          <w:trHeight w:val="348" w:hRule="atLeast"/>
          <w:cantSplit w:val="true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liczba godzin pracy studenta bez kontaktu z prowadzącymi</w:t>
            </w:r>
          </w:p>
        </w:tc>
        <w:tc>
          <w:tcPr>
            <w:tcW w:w="574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5</w:t>
            </w:r>
          </w:p>
        </w:tc>
      </w:tr>
      <w:tr>
        <w:trPr>
          <w:trHeight w:val="710" w:hRule="atLeast"/>
          <w:cantSplit w:val="true"/>
        </w:trPr>
        <w:tc>
          <w:tcPr>
            <w:tcW w:w="2766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  <w:tc>
          <w:tcPr>
            <w:tcW w:w="574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10</w:t>
            </w:r>
          </w:p>
        </w:tc>
      </w:tr>
      <w:tr>
        <w:trPr>
          <w:trHeight w:val="731" w:hRule="atLeast"/>
          <w:cantSplit w:val="true"/>
        </w:trPr>
        <w:tc>
          <w:tcPr>
            <w:tcW w:w="2766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  <w:tc>
          <w:tcPr>
            <w:tcW w:w="574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15</w:t>
            </w:r>
          </w:p>
        </w:tc>
      </w:tr>
      <w:tr>
        <w:trPr>
          <w:trHeight w:val="365" w:hRule="atLeast"/>
          <w:cantSplit w:val="true"/>
        </w:trPr>
        <w:tc>
          <w:tcPr>
            <w:tcW w:w="2766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  <w:tc>
          <w:tcPr>
            <w:tcW w:w="574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Przygotowanie do egzaminu/zaliczenia</w:t>
            </w:r>
          </w:p>
        </w:tc>
        <w:tc>
          <w:tcPr>
            <w:tcW w:w="10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20</w:t>
            </w:r>
          </w:p>
        </w:tc>
      </w:tr>
      <w:tr>
        <w:trPr>
          <w:trHeight w:val="365" w:hRule="atLeast"/>
        </w:trPr>
        <w:tc>
          <w:tcPr>
            <w:tcW w:w="8513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100</w:t>
            </w:r>
          </w:p>
        </w:tc>
      </w:tr>
      <w:tr>
        <w:trPr>
          <w:trHeight w:val="392" w:hRule="atLeast"/>
        </w:trPr>
        <w:tc>
          <w:tcPr>
            <w:tcW w:w="8513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Liczba punktów ECTS w zależności od przyjętego przelicznika</w:t>
            </w:r>
          </w:p>
        </w:tc>
        <w:tc>
          <w:tcPr>
            <w:tcW w:w="10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4</w:t>
            </w:r>
          </w:p>
        </w:tc>
      </w:tr>
    </w:tbl>
    <w:p>
      <w:pPr>
        <w:pStyle w:val="BalloonText"/>
        <w:rPr>
          <w:rFonts w:ascii="Arial" w:hAnsi="Arial" w:cs="Arial"/>
          <w:sz w:val="22"/>
        </w:rPr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134" w:gutter="0" w:header="454" w:top="1276" w:footer="709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Verdana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">
    <w:charset w:val="01"/>
    <w:family w:val="roman"/>
    <w:pitch w:val="variable"/>
  </w:font>
  <w:font w:name="Arial">
    <w:altName w:val="Verdana"/>
    <w:charset w:val="01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</w:t>
    </w:r>
    <w:r>
      <w:rPr/>
      <w:fldChar w:fldCharType="end"/>
    </w:r>
  </w:p>
  <w:p>
    <w:pPr>
      <w:pStyle w:val="Stopka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</w:t>
    </w:r>
    <w:r>
      <w:rPr/>
      <w:fldChar w:fldCharType="end"/>
    </w:r>
  </w:p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keepNext w:val="true"/>
      <w:spacing w:before="240" w:after="12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spacing w:before="0" w:after="0"/>
      <w:jc w:val="right"/>
      <w:rPr>
        <w:b/>
        <w:bCs/>
        <w:i/>
        <w:i/>
        <w:iCs/>
        <w:color w:val="800000"/>
        <w:sz w:val="18"/>
        <w:szCs w:val="18"/>
      </w:rPr>
    </w:pPr>
    <w:r>
      <w:rPr>
        <w:b/>
        <w:bCs/>
        <w:i/>
        <w:iCs/>
        <w:color w:val="800000"/>
        <w:sz w:val="18"/>
        <w:szCs w:val="18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spacing w:before="0" w:after="0"/>
      <w:jc w:val="right"/>
      <w:rPr>
        <w:b/>
        <w:bCs/>
        <w:i/>
        <w:i/>
        <w:iCs/>
        <w:color w:val="800000"/>
        <w:sz w:val="18"/>
        <w:szCs w:val="18"/>
      </w:rPr>
    </w:pPr>
    <w:r>
      <w:rPr>
        <w:b/>
        <w:bCs/>
        <w:i/>
        <w:iCs/>
        <w:color w:val="800000"/>
        <w:sz w:val="18"/>
        <w:szCs w:val="18"/>
      </w:rPr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doNotHyphenateCaps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ja-JP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ja-JP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paragraph" w:styleId="Nagwek1">
    <w:name w:val="Heading 1"/>
    <w:basedOn w:val="Normal"/>
    <w:next w:val="Normal"/>
    <w:qFormat/>
    <w:pPr>
      <w:keepNext w:val="true"/>
      <w:jc w:val="center"/>
      <w:outlineLvl w:val="0"/>
    </w:pPr>
    <w:rPr>
      <w:rFonts w:ascii="Verdana" w:hAnsi="Verdana"/>
      <w:sz w:val="28"/>
      <w:szCs w:val="28"/>
    </w:rPr>
  </w:style>
  <w:style w:type="character" w:styleId="DefaultParagraphFont" w:default="1">
    <w:name w:val="Default Paragraph Font"/>
    <w:semiHidden/>
    <w:qFormat/>
    <w:rPr/>
  </w:style>
  <w:style w:type="character" w:styleId="Znakinumeracji" w:customStyle="1">
    <w:name w:val="Znaki numeracji"/>
    <w:qFormat/>
    <w:rPr/>
  </w:style>
  <w:style w:type="character" w:styleId="Pagenumber">
    <w:name w:val="page number"/>
    <w:semiHidden/>
    <w:qFormat/>
    <w:rPr>
      <w:sz w:val="14"/>
      <w:szCs w:val="14"/>
    </w:rPr>
  </w:style>
  <w:style w:type="character" w:styleId="Annotationreference">
    <w:name w:val="annotation reference"/>
    <w:semiHidden/>
    <w:qFormat/>
    <w:rPr>
      <w:sz w:val="16"/>
      <w:szCs w:val="16"/>
    </w:rPr>
  </w:style>
  <w:style w:type="character" w:styleId="Znakiprzypiswdolnych">
    <w:name w:val="Znaki przypisów dolnych"/>
    <w:semiHidden/>
    <w:qFormat/>
    <w:rPr>
      <w:vertAlign w:val="superscript"/>
    </w:rPr>
  </w:style>
  <w:style w:type="character" w:styleId="Zakotwiczenieprzypisudolnego">
    <w:name w:val="Footnote Reference"/>
    <w:rPr>
      <w:vertAlign w:val="superscript"/>
    </w:rPr>
  </w:style>
  <w:style w:type="character" w:styleId="StopkaZnak" w:customStyle="1">
    <w:name w:val="Stopka Znak"/>
    <w:qFormat/>
    <w:rPr>
      <w:sz w:val="24"/>
      <w:szCs w:val="24"/>
    </w:rPr>
  </w:style>
  <w:style w:type="character" w:styleId="TekstdymkaZnak" w:customStyle="1">
    <w:name w:val="Tekst dymka Znak"/>
    <w:link w:val="BalloonText0"/>
    <w:uiPriority w:val="99"/>
    <w:semiHidden/>
    <w:qFormat/>
    <w:rsid w:val="00827d3b"/>
    <w:rPr>
      <w:rFonts w:ascii="Tahoma" w:hAnsi="Tahoma" w:cs="Tahoma"/>
      <w:sz w:val="16"/>
      <w:szCs w:val="16"/>
    </w:rPr>
  </w:style>
  <w:style w:type="character" w:styleId="TekstkomentarzaZnak" w:customStyle="1">
    <w:name w:val="Tekst komentarza Znak"/>
    <w:basedOn w:val="DefaultParagraphFont"/>
    <w:link w:val="Annotationtext"/>
    <w:semiHidden/>
    <w:qFormat/>
    <w:rsid w:val="009026ff"/>
    <w:rPr/>
  </w:style>
  <w:style w:type="character" w:styleId="TematkomentarzaZnak" w:customStyle="1">
    <w:name w:val="Temat komentarza Znak"/>
    <w:link w:val="Annotationsubject0"/>
    <w:uiPriority w:val="99"/>
    <w:semiHidden/>
    <w:qFormat/>
    <w:rsid w:val="009026ff"/>
    <w:rPr>
      <w:b/>
      <w:b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semiHidden/>
    <w:pPr>
      <w:spacing w:before="0" w:after="120"/>
    </w:pPr>
    <w:rPr/>
  </w:style>
  <w:style w:type="paragraph" w:styleId="Lista">
    <w:name w:val="List"/>
    <w:basedOn w:val="Tretekstu"/>
    <w:semiHidden/>
    <w:pPr/>
    <w:rPr/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/>
  </w:style>
  <w:style w:type="paragraph" w:styleId="Podpis1" w:customStyle="1">
    <w:name w:val="Podpis1"/>
    <w:basedOn w:val="Normal"/>
    <w:qFormat/>
    <w:pPr>
      <w:suppressLineNumbers/>
      <w:spacing w:before="120" w:after="120"/>
    </w:pPr>
    <w:rPr>
      <w:i/>
      <w:iCs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next w:val="Tretekstu"/>
    <w:semiHidden/>
    <w:pPr>
      <w:keepNext w:val="true"/>
      <w:spacing w:before="240" w:after="120"/>
    </w:pPr>
    <w:rPr>
      <w:rFonts w:ascii="Arial" w:hAnsi="Arial" w:cs="Arial"/>
      <w:sz w:val="28"/>
      <w:szCs w:val="28"/>
    </w:rPr>
  </w:style>
  <w:style w:type="paragraph" w:styleId="Stopka">
    <w:name w:val="Footer"/>
    <w:basedOn w:val="Normal"/>
    <w:semiHidden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Zawartotabeli" w:customStyle="1">
    <w:name w:val="Zawartość tabeli"/>
    <w:basedOn w:val="Normal"/>
    <w:qFormat/>
    <w:pPr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retekstu"/>
    <w:qFormat/>
    <w:pPr/>
    <w:rPr/>
  </w:style>
  <w:style w:type="paragraph" w:styleId="Annotationtext">
    <w:name w:val="annotation text"/>
    <w:basedOn w:val="Normal"/>
    <w:link w:val="TekstkomentarzaZnak"/>
    <w:semiHidden/>
    <w:qFormat/>
    <w:pPr/>
    <w:rPr>
      <w:sz w:val="20"/>
      <w:szCs w:val="20"/>
    </w:rPr>
  </w:style>
  <w:style w:type="paragraph" w:styleId="Annotationsubject" w:customStyle="1">
    <w:name w:val="annotation subject"/>
    <w:basedOn w:val="Annotationtext"/>
    <w:next w:val="Annotationtext"/>
    <w:qFormat/>
    <w:pPr/>
    <w:rPr>
      <w:b/>
      <w:bCs/>
    </w:rPr>
  </w:style>
  <w:style w:type="paragraph" w:styleId="BalloonText" w:customStyle="1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semiHidden/>
    <w:pPr/>
    <w:rPr>
      <w:sz w:val="20"/>
      <w:szCs w:val="20"/>
    </w:rPr>
  </w:style>
  <w:style w:type="paragraph" w:styleId="BalloonText0">
    <w:name w:val="Balloon Text0"/>
    <w:basedOn w:val="Normal"/>
    <w:link w:val="TekstdymkaZnak"/>
    <w:uiPriority w:val="99"/>
    <w:semiHidden/>
    <w:unhideWhenUsed/>
    <w:qFormat/>
    <w:rsid w:val="00827d3b"/>
    <w:pPr/>
    <w:rPr>
      <w:rFonts w:ascii="Tahoma" w:hAnsi="Tahoma" w:cs="Tahoma"/>
      <w:sz w:val="16"/>
      <w:szCs w:val="16"/>
    </w:rPr>
  </w:style>
  <w:style w:type="paragraph" w:styleId="Annotationsubject0">
    <w:name w:val="annotation subject0"/>
    <w:basedOn w:val="Annotationtext"/>
    <w:next w:val="Annotationtext"/>
    <w:link w:val="TematkomentarzaZnak"/>
    <w:uiPriority w:val="99"/>
    <w:semiHidden/>
    <w:unhideWhenUsed/>
    <w:qFormat/>
    <w:rsid w:val="009026ff"/>
    <w:pPr/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<Relationship Id="rId12" Type="http://schemas.openxmlformats.org/officeDocument/2006/relationships/customXml" Target="../customXml/item2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1E500B2FD3AEA4091A15979476B0515" ma:contentTypeVersion="7" ma:contentTypeDescription="Utwórz nowy dokument." ma:contentTypeScope="" ma:versionID="b92b23909faf6bf40b65163a3a382881">
  <xsd:schema xmlns:xsd="http://www.w3.org/2001/XMLSchema" xmlns:xs="http://www.w3.org/2001/XMLSchema" xmlns:p="http://schemas.microsoft.com/office/2006/metadata/properties" xmlns:ns2="cb48bd3e-9e54-45ef-9161-202ae7434177" xmlns:ns3="20462d40-6f10-4ae1-abcf-df29e86a6736" targetNamespace="http://schemas.microsoft.com/office/2006/metadata/properties" ma:root="true" ma:fieldsID="7616fbf1398f9fe2e76a3a236aeafb51" ns2:_="" ns3:_="">
    <xsd:import namespace="cb48bd3e-9e54-45ef-9161-202ae7434177"/>
    <xsd:import namespace="20462d40-6f10-4ae1-abcf-df29e86a67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48bd3e-9e54-45ef-9161-202ae74341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62d40-6f10-4ae1-abcf-df29e86a673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ACB41E-FBBA-42A5-BA40-4E0ECC1AF8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48bd3e-9e54-45ef-9161-202ae7434177"/>
    <ds:schemaRef ds:uri="20462d40-6f10-4ae1-abcf-df29e86a67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Application>LibreOffice/7.5.1.2$Windows_X86_64 LibreOffice_project/fcbaee479e84c6cd81291587d2ee68cba099e129</Application>
  <AppVersion>15.0000</AppVersion>
  <Pages>5</Pages>
  <Words>670</Words>
  <Characters>4260</Characters>
  <CharactersWithSpaces>4745</CharactersWithSpaces>
  <Paragraphs>190</Paragraphs>
  <Company>Akademia Pedagogiczna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2023-09-09T15:18:00Z</dcterms:created>
  <dc:creator>Barbara Wilk</dc:creator>
  <dc:description/>
  <dc:language>pl-PL</dc:language>
  <cp:lastModifiedBy/>
  <cp:lastPrinted>2012-01-27T16:28:00Z</cp:lastPrinted>
  <dcterms:modified xsi:type="dcterms:W3CDTF">2023-09-22T12:19:52Z</dcterms:modified>
  <cp:revision>13</cp:revision>
  <dc:subject/>
  <dc:title>KARTA KURSU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