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Arial" w:hAnsi="Arial" w:cs="Arial"/>
          <w:i/>
          <w:i/>
          <w:iCs/>
          <w:sz w:val="22"/>
          <w:szCs w:val="22"/>
        </w:rPr>
      </w:pPr>
      <w:r>
        <w:rPr>
          <w:rFonts w:cs="Arial" w:ascii="Arial" w:hAnsi="Arial"/>
          <w:i/>
          <w:iCs/>
          <w:sz w:val="22"/>
          <w:szCs w:val="22"/>
        </w:rPr>
        <w:t>studia I stopnia, stacjonarne, 20</w:t>
      </w:r>
      <w:r>
        <w:rPr>
          <w:rFonts w:cs="Arial" w:ascii="Arial" w:hAnsi="Arial"/>
          <w:i/>
          <w:iCs/>
          <w:sz w:val="22"/>
          <w:szCs w:val="22"/>
        </w:rPr>
        <w:t>22</w:t>
      </w:r>
      <w:r>
        <w:rPr>
          <w:rFonts w:cs="Arial" w:ascii="Arial" w:hAnsi="Arial"/>
          <w:i/>
          <w:iCs/>
          <w:sz w:val="22"/>
          <w:szCs w:val="22"/>
        </w:rPr>
        <w:t>/</w:t>
      </w:r>
      <w:r>
        <w:rPr>
          <w:rFonts w:cs="Arial" w:ascii="Arial" w:hAnsi="Arial"/>
          <w:i/>
          <w:iCs/>
          <w:sz w:val="22"/>
          <w:szCs w:val="22"/>
        </w:rPr>
        <w:t>23</w:t>
      </w:r>
      <w:r>
        <w:rPr>
          <w:rFonts w:cs="Arial" w:ascii="Arial" w:hAnsi="Arial"/>
          <w:i/>
          <w:iCs/>
          <w:sz w:val="22"/>
          <w:szCs w:val="22"/>
        </w:rPr>
        <w:t>, semestr 1.</w:t>
      </w:r>
    </w:p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Heading1"/>
        <w:rPr>
          <w:rFonts w:ascii="Arial" w:hAnsi="Arial" w:cs="Arial"/>
          <w:sz w:val="22"/>
        </w:rPr>
      </w:pPr>
      <w:r>
        <w:rPr>
          <w:rFonts w:cs="Arial" w:ascii="Arial" w:hAnsi="Arial"/>
          <w:b/>
          <w:bCs/>
          <w:sz w:val="24"/>
        </w:rPr>
        <w:t>KARTA KURSU</w:t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4"/>
        <w:gridCol w:w="7655"/>
      </w:tblGrid>
      <w:tr>
        <w:trPr>
          <w:trHeight w:val="395" w:hRule="atLeast"/>
        </w:trPr>
        <w:tc>
          <w:tcPr>
            <w:tcW w:w="19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caps/>
                <w:sz w:val="20"/>
                <w:szCs w:val="20"/>
              </w:rPr>
              <w:t>Język angielski B2-</w:t>
            </w:r>
            <w:r>
              <w:rPr>
                <w:rFonts w:ascii="Arial" w:hAnsi="Arial"/>
                <w:sz w:val="20"/>
                <w:szCs w:val="20"/>
              </w:rPr>
              <w:t>1s</w:t>
            </w:r>
          </w:p>
        </w:tc>
      </w:tr>
      <w:tr>
        <w:trPr>
          <w:trHeight w:val="379" w:hRule="atLeast"/>
        </w:trPr>
        <w:tc>
          <w:tcPr>
            <w:tcW w:w="19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English B2-1s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640" w:type="dxa"/>
        <w:jc w:val="left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88"/>
        <w:gridCol w:w="3190"/>
        <w:gridCol w:w="3262"/>
      </w:tblGrid>
      <w:tr>
        <w:trPr>
          <w:cantSplit w:val="true"/>
        </w:trPr>
        <w:tc>
          <w:tcPr>
            <w:tcW w:w="3188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mgr Anna Chudzik</w:t>
            </w:r>
          </w:p>
        </w:tc>
        <w:tc>
          <w:tcPr>
            <w:tcW w:w="32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Zespół dydaktyczny</w:t>
            </w:r>
          </w:p>
        </w:tc>
      </w:tr>
      <w:tr>
        <w:trPr>
          <w:trHeight w:val="344" w:hRule="atLeast"/>
          <w:cantSplit w:val="true"/>
        </w:trPr>
        <w:tc>
          <w:tcPr>
            <w:tcW w:w="3188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90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62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Zespół języka angielskiego</w:t>
            </w:r>
          </w:p>
        </w:tc>
      </w:tr>
      <w:tr>
        <w:trPr>
          <w:trHeight w:val="57" w:hRule="atLeast"/>
          <w:cantSplit w:val="true"/>
        </w:trPr>
        <w:tc>
          <w:tcPr>
            <w:tcW w:w="3188" w:type="dxa"/>
            <w:tcBorders>
              <w:top w:val="single" w:sz="2" w:space="0" w:color="95B3D7"/>
              <w:bottom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62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18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3</w:t>
            </w:r>
          </w:p>
        </w:tc>
        <w:tc>
          <w:tcPr>
            <w:tcW w:w="3262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Opis kursu (cele kształcenia)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9640"/>
      </w:tblGrid>
      <w:tr>
        <w:trPr>
          <w:trHeight w:val="1365" w:hRule="atLeast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false"/>
              <w:ind w:left="714" w:hanging="3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Rozumienie dłuższych wypowiedzi, dyskusji i wykładów. Rozumienie szczegółowych informacji w programach radiowych i telewizyjnych dotyczących wydarzeń współczesnych lub tematów związanych z zainteresowaniami osobistymi lub zawodowymi (materiały w wersji oryginalnej). Przygotowanie do samodzielnego korzystania z angielskojęzycznych źródeł w tym stron internetowych.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false"/>
              <w:ind w:left="714" w:hanging="3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Zwrócenie szczególnej uwagi na umiejętność swobodnej ustnej i pisemnej wypowiedzi w języku angielskim w codziennej komunikacji, a także umiejętność uzasadnienia własnego punktu widzenia w danej kwestii oraz podawania argumentów za i przeciw względem możliwych rozwiązań. Rozbudowanie zasobu słownictwa i doskonalenie go poprzez ćwiczenie wymowy oraz zwrócenie uwagi na frazeologię. Zaprezentowanie najważniejszych aspektów związanych z korzystaniem z jednojęzycznych słowników.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0"/>
                <w:szCs w:val="20"/>
              </w:rPr>
              <w:t>Dostarczenie wiedzy związanej z elementami języka specjalistycznego z zakresu kierunku kształcenia. Przygotowanie absolwentów do samodzielnego poszerzania wiedzy związanej z wykorzystaniem języka obcego w życiu zawodowym.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Warunki wstępne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940"/>
        <w:gridCol w:w="7699"/>
      </w:tblGrid>
      <w:tr>
        <w:trPr>
          <w:trHeight w:val="550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  <w:tr>
        <w:trPr>
          <w:trHeight w:val="577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  <w:tr>
        <w:trPr/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Efekty uczenia się 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1979"/>
        <w:gridCol w:w="5296"/>
        <w:gridCol w:w="2365"/>
      </w:tblGrid>
      <w:tr>
        <w:trPr>
          <w:trHeight w:val="930" w:hRule="atLeast"/>
          <w:cantSplit w:val="true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838" w:hRule="atLeast"/>
          <w:cantSplit w:val="true"/>
        </w:trPr>
        <w:tc>
          <w:tcPr>
            <w:tcW w:w="1979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W1 Student zna struktury gramatyczne charakterystyczne dla omawianych treści.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W2 Student zna struktury leksykalne charakterystyczne dla omawianych treści.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W3 Student posiada podstawową wiedzę z zakresu języka specjalistycznego.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1984"/>
        <w:gridCol w:w="5246"/>
        <w:gridCol w:w="2410"/>
      </w:tblGrid>
      <w:tr>
        <w:trPr>
          <w:trHeight w:val="939" w:hRule="atLeast"/>
          <w:cantSplit w:val="true"/>
        </w:trPr>
        <w:tc>
          <w:tcPr>
            <w:tcW w:w="198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2116" w:hRule="atLeast"/>
          <w:cantSplit w:val="true"/>
        </w:trPr>
        <w:tc>
          <w:tcPr>
            <w:tcW w:w="1984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U1 Student samodzielnie umie tworzyć i wykorzystać struktury gramatyczne charakterystyczne dla omawianych treści.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U2 Student posiada umiejętność wykorzystania struktur leksykalnych charakterystycznych dla omawianych treści.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U3 Student potrafi posługiwać się podstawowymi sformułowaniami z zakresu języka specjalistycznego.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1984"/>
        <w:gridCol w:w="5246"/>
        <w:gridCol w:w="2410"/>
      </w:tblGrid>
      <w:tr>
        <w:trPr>
          <w:trHeight w:val="800" w:hRule="atLeast"/>
          <w:cantSplit w:val="true"/>
        </w:trPr>
        <w:tc>
          <w:tcPr>
            <w:tcW w:w="198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984" w:hRule="atLeast"/>
          <w:cantSplit w:val="true"/>
        </w:trPr>
        <w:tc>
          <w:tcPr>
            <w:tcW w:w="1984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K1 Student posiada kompetencje w zakresie stosowania wiedzy teoretycznej i praktycznej nabytej w trakcie kursu oraz swobodnie komunikuje się w języku angielskim.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K2 Student potrafi funkcjonować w obcej kulturze, uczestniczy w jej życiu codziennym, inicjuje kontakty międzynarodowe.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K3 Student umiejętnie uczestniczy w pracach w środowisku międzynarodowym.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8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610"/>
        <w:gridCol w:w="1226"/>
        <w:gridCol w:w="850"/>
        <w:gridCol w:w="272"/>
        <w:gridCol w:w="862"/>
        <w:gridCol w:w="315"/>
        <w:gridCol w:w="818"/>
        <w:gridCol w:w="285"/>
        <w:gridCol w:w="850"/>
        <w:gridCol w:w="283"/>
        <w:gridCol w:w="850"/>
        <w:gridCol w:w="285"/>
        <w:gridCol w:w="849"/>
        <w:gridCol w:w="284"/>
      </w:tblGrid>
      <w:tr>
        <w:trPr>
          <w:trHeight w:val="424" w:hRule="exact"/>
          <w:cantSplit w:val="true"/>
        </w:trPr>
        <w:tc>
          <w:tcPr>
            <w:tcW w:w="9639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ind w:left="45" w:right="137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Organizacja</w:t>
            </w:r>
          </w:p>
        </w:tc>
      </w:tr>
      <w:tr>
        <w:trPr>
          <w:trHeight w:val="654" w:hRule="atLeast"/>
          <w:cantSplit w:val="true"/>
        </w:trPr>
        <w:tc>
          <w:tcPr>
            <w:tcW w:w="161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6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Wykład</w:t>
            </w:r>
          </w:p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(W)</w:t>
            </w:r>
          </w:p>
        </w:tc>
        <w:tc>
          <w:tcPr>
            <w:tcW w:w="6803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Ćwiczenia w grupach</w:t>
            </w:r>
          </w:p>
        </w:tc>
      </w:tr>
      <w:tr>
        <w:trPr>
          <w:trHeight w:val="477" w:hRule="atLeast"/>
          <w:cantSplit w:val="true"/>
        </w:trPr>
        <w:tc>
          <w:tcPr>
            <w:tcW w:w="1610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6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1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</w:t>
            </w:r>
          </w:p>
        </w:tc>
        <w:tc>
          <w:tcPr>
            <w:tcW w:w="2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</w:t>
            </w:r>
          </w:p>
        </w:tc>
        <w:tc>
          <w:tcPr>
            <w:tcW w:w="2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99" w:hRule="atLeast"/>
        </w:trPr>
        <w:tc>
          <w:tcPr>
            <w:tcW w:w="161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62" w:hRule="atLeast"/>
        </w:trPr>
        <w:tc>
          <w:tcPr>
            <w:tcW w:w="161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40</w:t>
            </w:r>
          </w:p>
        </w:tc>
        <w:tc>
          <w:tcPr>
            <w:tcW w:w="122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30</w:t>
            </w: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10</w:t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  <w:t>Opis metod prowadzenia zajęć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9622"/>
      </w:tblGrid>
      <w:tr>
        <w:trPr>
          <w:trHeight w:val="1920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Paragraph"/>
              <w:widowControl w:val="false"/>
              <w:shd w:val="clear" w:color="auto" w:fill="FFFFFF"/>
              <w:rPr>
                <w:rFonts w:ascii="Arial" w:hAnsi="Arial" w:cs="Arial"/>
              </w:rPr>
            </w:pPr>
            <w:r>
              <w:rPr>
                <w:rStyle w:val="Normaltextrun"/>
                <w:rFonts w:cs="Arial" w:ascii="Arial" w:hAnsi="Arial"/>
                <w:iCs/>
              </w:rPr>
              <w:t>Metoda komunikacyjna</w:t>
            </w:r>
            <w:r>
              <w:rPr>
                <w:rStyle w:val="Eop"/>
                <w:rFonts w:cs="Arial" w:ascii="Arial" w:hAnsi="Arial"/>
                <w:iCs/>
              </w:rPr>
              <w:t> </w:t>
            </w:r>
          </w:p>
          <w:p>
            <w:pPr>
              <w:pStyle w:val="Paragraph"/>
              <w:widowControl w:val="false"/>
              <w:shd w:val="clear" w:color="auto" w:fill="FFFFFF"/>
              <w:rPr>
                <w:rFonts w:ascii="Arial" w:hAnsi="Arial" w:cs="Arial"/>
              </w:rPr>
            </w:pPr>
            <w:r>
              <w:rPr>
                <w:rStyle w:val="Normaltextrun"/>
                <w:rFonts w:cs="Arial" w:ascii="Arial" w:hAnsi="Arial"/>
                <w:iCs/>
              </w:rPr>
              <w:t>Celem metody komunikacyjnej jest wykształcenie i doskonalenie umiejętności skutecznego komunikowania się w języku obcym w sposób adekwatny do konkretnych okoliczności. </w:t>
            </w:r>
            <w:r>
              <w:rPr>
                <w:rStyle w:val="Eop"/>
                <w:rFonts w:cs="Arial" w:ascii="Arial" w:hAnsi="Arial"/>
                <w:iCs/>
              </w:rPr>
              <w:t> </w:t>
            </w:r>
          </w:p>
          <w:p>
            <w:pPr>
              <w:pStyle w:val="Paragraph"/>
              <w:widowControl w:val="false"/>
              <w:shd w:val="clear" w:color="auto" w:fill="FFFFFF"/>
              <w:rPr>
                <w:rFonts w:ascii="Arial" w:hAnsi="Arial" w:cs="Arial"/>
              </w:rPr>
            </w:pPr>
            <w:r>
              <w:rPr>
                <w:rStyle w:val="Normaltextrun"/>
                <w:rFonts w:cs="Arial" w:ascii="Arial" w:hAnsi="Arial"/>
                <w:iCs/>
              </w:rPr>
              <w:t>Stosowanie tej metody podczas zajęć ma na celu stworzenie różnorodnych sytuacji, w których można znaleźć się w życiu codziennym. Szczególnie istotne są ćwiczenia, w których uczestnicy odgrywają dialogi w parach, bądź prowadzą rozmowy w małych grupach. Metoda komunikacyjna opiera się na wykorzystywaniu w trakcie zajęć autentycznych materiałów audiowizualnych, dzięki którym studenci muszą rozwiązywać rzeczywiste problemy z życia codziennego.</w:t>
            </w:r>
            <w:r>
              <w:rPr>
                <w:rStyle w:val="Eop"/>
                <w:rFonts w:cs="Arial" w:ascii="Arial" w:hAnsi="Arial"/>
                <w:iCs/>
              </w:rPr>
              <w:t> </w:t>
            </w:r>
          </w:p>
          <w:p>
            <w:pPr>
              <w:pStyle w:val="Paragraph"/>
              <w:widowControl w:val="false"/>
              <w:shd w:val="clear" w:color="auto" w:fill="FFFFFF"/>
              <w:rPr>
                <w:rFonts w:ascii="Arial" w:hAnsi="Arial" w:cs="Arial"/>
              </w:rPr>
            </w:pPr>
            <w:r>
              <w:rPr>
                <w:rStyle w:val="Normaltextrun"/>
                <w:rFonts w:cs="Arial" w:ascii="Arial" w:hAnsi="Arial"/>
                <w:iCs/>
              </w:rPr>
              <w:t>Nauczanie zdalne i hybrydowe </w:t>
            </w:r>
            <w:r>
              <w:rPr>
                <w:rStyle w:val="Eop"/>
                <w:rFonts w:cs="Arial" w:ascii="Arial" w:hAnsi="Arial"/>
                <w:iCs/>
              </w:rPr>
              <w:t> </w:t>
            </w:r>
          </w:p>
          <w:p>
            <w:pPr>
              <w:pStyle w:val="Normal"/>
              <w:widowControl w:val="false"/>
              <w:suppressLineNumbers/>
              <w:snapToGrid w:val="false"/>
              <w:spacing w:lineRule="atLeast" w:line="100"/>
              <w:rPr>
                <w:rFonts w:ascii="Arial" w:hAnsi="Arial" w:cs="Arial"/>
                <w:sz w:val="22"/>
                <w:szCs w:val="16"/>
              </w:rPr>
            </w:pPr>
            <w:r>
              <w:rPr>
                <w:rStyle w:val="Normaltextrun"/>
                <w:rFonts w:cs="Arial" w:ascii="Arial" w:hAnsi="Arial"/>
                <w:iCs/>
                <w:sz w:val="22"/>
                <w:szCs w:val="22"/>
              </w:rPr>
              <w:t>Zajęcia prowadzone są w formie zdalnej lub hybrydowej z wykorzystaniem platformy </w:t>
            </w:r>
            <w:r>
              <w:rPr>
                <w:rStyle w:val="Spellingerror"/>
                <w:rFonts w:cs="Arial" w:ascii="Arial" w:hAnsi="Arial"/>
                <w:iCs/>
                <w:sz w:val="22"/>
                <w:szCs w:val="22"/>
              </w:rPr>
              <w:t>Moodle</w:t>
            </w:r>
            <w:r>
              <w:rPr>
                <w:rStyle w:val="Normaltextrun"/>
                <w:rFonts w:cs="Arial" w:ascii="Arial" w:hAnsi="Arial"/>
                <w:iCs/>
                <w:sz w:val="22"/>
                <w:szCs w:val="22"/>
              </w:rPr>
              <w:t> oraz Microsoft </w:t>
            </w:r>
            <w:r>
              <w:rPr>
                <w:rStyle w:val="Spellingerror"/>
                <w:rFonts w:cs="Arial" w:ascii="Arial" w:hAnsi="Arial"/>
                <w:iCs/>
                <w:sz w:val="22"/>
                <w:szCs w:val="22"/>
              </w:rPr>
              <w:t>Teams</w:t>
            </w:r>
            <w:r>
              <w:rPr>
                <w:rStyle w:val="Normaltextrun"/>
                <w:rFonts w:cs="Arial" w:ascii="Arial" w:hAnsi="Arial"/>
                <w:iCs/>
                <w:sz w:val="22"/>
                <w:szCs w:val="22"/>
              </w:rPr>
              <w:t>.</w:t>
            </w:r>
            <w:r>
              <w:rPr>
                <w:rStyle w:val="Normaltextrun"/>
                <w:rFonts w:cs="Arial" w:ascii="Candara" w:hAnsi="Candara"/>
                <w:i/>
                <w:iCs/>
              </w:rPr>
              <w:t> </w:t>
            </w:r>
            <w:r>
              <w:rPr>
                <w:rStyle w:val="Eop"/>
                <w:rFonts w:cs="Segoe UI" w:ascii="Candara" w:hAnsi="Candara"/>
                <w:i/>
                <w:iCs/>
              </w:rPr>
              <w:t> </w:t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Formy sprawdzania efektów uczenia się </w:t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 xml:space="preserve"> </w:t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2"/>
        <w:gridCol w:w="665"/>
        <w:gridCol w:w="666"/>
        <w:gridCol w:w="667"/>
        <w:gridCol w:w="666"/>
        <w:gridCol w:w="665"/>
        <w:gridCol w:w="666"/>
        <w:gridCol w:w="667"/>
        <w:gridCol w:w="666"/>
        <w:gridCol w:w="564"/>
        <w:gridCol w:w="768"/>
        <w:gridCol w:w="667"/>
        <w:gridCol w:w="666"/>
        <w:gridCol w:w="665"/>
      </w:tblGrid>
      <w:tr>
        <w:trPr>
          <w:trHeight w:val="1616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E – </w:t>
            </w:r>
            <w:r>
              <w:rPr>
                <w:rFonts w:cs="Arial"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Referat</w:t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Inne</w:t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Tekstdymka1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0"/>
        <w:gridCol w:w="7699"/>
      </w:tblGrid>
      <w:tr>
        <w:trPr/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iCs/>
                <w:sz w:val="20"/>
              </w:rPr>
              <w:t>Zaliczenie kursu odbywa się na podstawie oceny poszczególnych efektów kształcenia (e- nauczanie, gry dydaktyczne, projekt indywidualny i grupowy, udział w dyskusji, prace pisemne, wypowiedź ustna, testy zaliczeniowe) a także aktywnego uczestnictwa w zajęciach.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0"/>
        <w:gridCol w:w="7699"/>
      </w:tblGrid>
      <w:tr>
        <w:trPr>
          <w:trHeight w:val="1089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0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Treści merytoryczne (wykaz tematów)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9622"/>
      </w:tblGrid>
      <w:tr>
        <w:trPr>
          <w:trHeight w:val="1136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Tekstdymka1"/>
              <w:widowControl w:val="false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 xml:space="preserve">Pytania i odpowiedzi – rozmowa kwalifikacyjna, tworzenie pytań </w:t>
            </w:r>
          </w:p>
          <w:p>
            <w:pPr>
              <w:pStyle w:val="Tekstdymka1"/>
              <w:widowControl w:val="false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 xml:space="preserve">Tajemniczce zjawiska – ćwiczenia słownikowe w oparciu o pracę z tekstem </w:t>
            </w:r>
          </w:p>
          <w:p>
            <w:pPr>
              <w:pStyle w:val="Tekstdymka1"/>
              <w:widowControl w:val="false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Przymiotniki związane z cechami charakteru</w:t>
            </w:r>
          </w:p>
          <w:p>
            <w:pPr>
              <w:pStyle w:val="Tekstdymka1"/>
              <w:widowControl w:val="false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i/>
                <w:sz w:val="20"/>
              </w:rPr>
              <w:t>Auxiliary verbs</w:t>
            </w:r>
            <w:r>
              <w:rPr>
                <w:rFonts w:cs="Arial" w:ascii="Arial" w:hAnsi="Arial"/>
                <w:sz w:val="20"/>
              </w:rPr>
              <w:t xml:space="preserve"> (czasowniki posiłkowe), struktura gramatyczna </w:t>
            </w:r>
            <w:r>
              <w:rPr>
                <w:rFonts w:cs="Arial" w:ascii="Arial" w:hAnsi="Arial"/>
                <w:i/>
                <w:sz w:val="20"/>
              </w:rPr>
              <w:t>the…, the…+ comparative</w:t>
            </w:r>
          </w:p>
          <w:p>
            <w:pPr>
              <w:pStyle w:val="Tekstdymka1"/>
              <w:widowControl w:val="false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Zagadnienia związane ze zdrowiem – słownictwo, wizyta u lekarza (ćwiczenia na słuchanie), cyberchondria (praca z tekstem)</w:t>
            </w:r>
          </w:p>
          <w:p>
            <w:pPr>
              <w:pStyle w:val="Tekstdymka1"/>
              <w:widowControl w:val="false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 xml:space="preserve">Czasy Present Perfect Simple/Continuous </w:t>
            </w:r>
          </w:p>
          <w:p>
            <w:pPr>
              <w:pStyle w:val="Tekstdymka1"/>
              <w:widowControl w:val="false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 xml:space="preserve">Zagadnienia związane z wiekiem i etapami w życiu człowieka – wygląd zewnętrzny, rodzaje ubrań (praca z tekstem,  ćwiczenia na słuchanie, ćwiczenia słownikowe) </w:t>
            </w:r>
          </w:p>
          <w:p>
            <w:pPr>
              <w:pStyle w:val="Tekstdymka1"/>
              <w:widowControl w:val="false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Formy przymiotnikowe – używanie przymiotników jako rzeczowników</w:t>
            </w:r>
          </w:p>
          <w:p>
            <w:pPr>
              <w:pStyle w:val="Tekstdymka1"/>
              <w:widowControl w:val="false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Podróże samolotem – bezpieczeństwo na pokładzie (praca z tekstem,  ćwiczenia na słuchanie, ćwiczenia słownikowe)</w:t>
            </w:r>
          </w:p>
          <w:p>
            <w:pPr>
              <w:pStyle w:val="Tekstdymka1"/>
              <w:widowControl w:val="false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 w:ascii="Arial" w:hAnsi="Arial"/>
                <w:sz w:val="20"/>
                <w:lang w:val="en-GB"/>
              </w:rPr>
              <w:t xml:space="preserve">Czasy Past Simple/Continuous, Past Perfect Simple/Continuous </w:t>
            </w:r>
          </w:p>
          <w:p>
            <w:pPr>
              <w:pStyle w:val="Tekstdymka1"/>
              <w:widowControl w:val="false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 xml:space="preserve">Użycie </w:t>
            </w:r>
            <w:r>
              <w:rPr>
                <w:rFonts w:cs="Arial" w:ascii="Arial" w:hAnsi="Arial"/>
                <w:i/>
                <w:sz w:val="20"/>
              </w:rPr>
              <w:t>so</w:t>
            </w:r>
            <w:r>
              <w:rPr>
                <w:rFonts w:cs="Arial" w:ascii="Arial" w:hAnsi="Arial"/>
                <w:sz w:val="20"/>
              </w:rPr>
              <w:t xml:space="preserve"> i </w:t>
            </w:r>
            <w:r>
              <w:rPr>
                <w:rFonts w:cs="Arial" w:ascii="Arial" w:hAnsi="Arial"/>
                <w:i/>
                <w:sz w:val="20"/>
              </w:rPr>
              <w:t>such</w:t>
            </w:r>
          </w:p>
          <w:p>
            <w:pPr>
              <w:pStyle w:val="Tekstdymka1"/>
              <w:widowControl w:val="false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 xml:space="preserve">Powtórzenie materiału </w:t>
            </w:r>
          </w:p>
          <w:p>
            <w:pPr>
              <w:pStyle w:val="Tekstdymka1"/>
              <w:widowControl w:val="false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Elementy języka specjalistycznego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Słowniczek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9622"/>
      </w:tblGrid>
      <w:tr>
        <w:trPr>
          <w:trHeight w:val="1136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suppressAutoHyphens w:val="false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question formation</w:t>
            </w:r>
          </w:p>
          <w:p>
            <w:pPr>
              <w:pStyle w:val="Normal"/>
              <w:widowControl w:val="false"/>
              <w:suppressAutoHyphens w:val="false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 xml:space="preserve">auxiliary verbs </w:t>
            </w:r>
          </w:p>
          <w:p>
            <w:pPr>
              <w:pStyle w:val="Tekstdymka1"/>
              <w:widowControl w:val="false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 w:ascii="Arial" w:hAnsi="Arial"/>
                <w:sz w:val="20"/>
                <w:lang w:val="en-GB"/>
              </w:rPr>
              <w:t>the…, the…+ comparative</w:t>
            </w:r>
          </w:p>
          <w:p>
            <w:pPr>
              <w:pStyle w:val="Tekstdymka1"/>
              <w:widowControl w:val="false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 w:ascii="Arial" w:hAnsi="Arial"/>
                <w:sz w:val="20"/>
                <w:lang w:val="en-GB"/>
              </w:rPr>
              <w:t xml:space="preserve">present perfect simple/continuous </w:t>
            </w:r>
          </w:p>
          <w:p>
            <w:pPr>
              <w:pStyle w:val="Tekstdymka1"/>
              <w:widowControl w:val="false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 w:ascii="Arial" w:hAnsi="Arial"/>
                <w:sz w:val="20"/>
                <w:lang w:val="en-GB"/>
              </w:rPr>
              <w:t>past simple/continuous</w:t>
            </w:r>
          </w:p>
          <w:p>
            <w:pPr>
              <w:pStyle w:val="Tekstdymka1"/>
              <w:widowControl w:val="false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 w:ascii="Arial" w:hAnsi="Arial"/>
                <w:sz w:val="20"/>
                <w:lang w:val="en-GB"/>
              </w:rPr>
              <w:t xml:space="preserve">past perfect simple/continuous </w:t>
            </w:r>
          </w:p>
          <w:p>
            <w:pPr>
              <w:pStyle w:val="Normal"/>
              <w:widowControl w:val="false"/>
              <w:suppressAutoHyphens w:val="false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 w:ascii="Arial" w:hAnsi="Arial"/>
                <w:sz w:val="20"/>
                <w:lang w:val="en-GB"/>
              </w:rPr>
              <w:t>so / such</w:t>
            </w:r>
          </w:p>
          <w:p>
            <w:pPr>
              <w:pStyle w:val="Normal"/>
              <w:widowControl w:val="false"/>
              <w:suppressAutoHyphens w:val="false"/>
              <w:rPr>
                <w:rFonts w:ascii="Arial" w:hAnsi="Arial" w:cs="Arial"/>
                <w:sz w:val="22"/>
                <w:lang w:val="en-GB"/>
              </w:rPr>
            </w:pPr>
            <w:r>
              <w:rPr>
                <w:rFonts w:cs="Arial" w:ascii="Arial" w:hAnsi="Arial"/>
                <w:sz w:val="22"/>
                <w:lang w:val="en-GB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22"/>
          <w:lang w:val="en-GB"/>
        </w:rPr>
      </w:pPr>
      <w:r>
        <w:rPr>
          <w:rFonts w:cs="Arial" w:ascii="Arial" w:hAnsi="Arial"/>
          <w:sz w:val="22"/>
          <w:szCs w:val="22"/>
          <w:lang w:val="en-GB"/>
        </w:rPr>
      </w:r>
    </w:p>
    <w:p>
      <w:pPr>
        <w:pStyle w:val="Normal"/>
        <w:rPr>
          <w:rFonts w:ascii="Arial" w:hAnsi="Arial" w:cs="Arial"/>
          <w:sz w:val="22"/>
          <w:szCs w:val="16"/>
          <w:lang w:val="en-GB"/>
        </w:rPr>
      </w:pPr>
      <w:r>
        <w:rPr>
          <w:rFonts w:cs="Arial" w:ascii="Arial" w:hAnsi="Arial"/>
          <w:sz w:val="22"/>
          <w:szCs w:val="16"/>
          <w:lang w:val="en-GB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Wykaz literatury podstawowej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9622"/>
      </w:tblGrid>
      <w:tr>
        <w:trPr>
          <w:trHeight w:val="1098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>1. Latham-Koenig C., Oxenden C., Chomacki, K., English File Upper-Intermediate Student’s Book, 4</w:t>
            </w:r>
            <w:r>
              <w:rPr>
                <w:rFonts w:cs="Arial" w:ascii="Arial" w:hAnsi="Arial"/>
                <w:sz w:val="20"/>
                <w:vertAlign w:val="superscript"/>
                <w:lang w:val="en-US"/>
              </w:rPr>
              <w:t>th</w:t>
            </w:r>
            <w:r>
              <w:rPr>
                <w:rFonts w:cs="Arial" w:ascii="Arial" w:hAnsi="Arial"/>
                <w:sz w:val="20"/>
                <w:lang w:val="en-US"/>
              </w:rPr>
              <w:t xml:space="preserve"> edition. OUP, 2020.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  <w:lang w:val="en-US"/>
        </w:rPr>
      </w:pPr>
      <w:r>
        <w:rPr>
          <w:rFonts w:cs="Arial" w:ascii="Arial" w:hAnsi="Arial"/>
          <w:sz w:val="22"/>
          <w:szCs w:val="16"/>
          <w:lang w:val="en-US"/>
        </w:rPr>
      </w:r>
    </w:p>
    <w:p>
      <w:pPr>
        <w:pStyle w:val="Normal"/>
        <w:rPr>
          <w:rFonts w:ascii="Arial" w:hAnsi="Arial" w:cs="Arial"/>
          <w:sz w:val="22"/>
          <w:szCs w:val="16"/>
          <w:lang w:val="en-US"/>
        </w:rPr>
      </w:pPr>
      <w:r>
        <w:rPr>
          <w:rFonts w:cs="Arial" w:ascii="Arial" w:hAnsi="Arial"/>
          <w:sz w:val="22"/>
          <w:szCs w:val="16"/>
          <w:lang w:val="en-US"/>
        </w:rPr>
        <w:t>Wykaz literatury uzupełniającej</w:t>
      </w:r>
    </w:p>
    <w:p>
      <w:pPr>
        <w:pStyle w:val="Normal"/>
        <w:rPr>
          <w:rFonts w:ascii="Arial" w:hAnsi="Arial" w:cs="Arial"/>
          <w:sz w:val="22"/>
          <w:szCs w:val="16"/>
          <w:lang w:val="en-US"/>
        </w:rPr>
      </w:pPr>
      <w:r>
        <w:rPr>
          <w:rFonts w:cs="Arial" w:ascii="Arial" w:hAnsi="Arial"/>
          <w:sz w:val="22"/>
          <w:szCs w:val="16"/>
          <w:lang w:val="en-US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9622"/>
      </w:tblGrid>
      <w:tr>
        <w:trPr>
          <w:trHeight w:val="1112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>1. Latham-Koenig C., Oxenden C., Chomacki, K., English File Upper-Intermediate Workbook, 4</w:t>
            </w:r>
            <w:r>
              <w:rPr>
                <w:rFonts w:cs="Arial" w:ascii="Arial" w:hAnsi="Arial"/>
                <w:sz w:val="20"/>
                <w:vertAlign w:val="superscript"/>
                <w:lang w:val="en-US"/>
              </w:rPr>
              <w:t>th</w:t>
            </w:r>
            <w:r>
              <w:rPr>
                <w:rFonts w:cs="Arial" w:ascii="Arial" w:hAnsi="Arial"/>
                <w:sz w:val="20"/>
                <w:lang w:val="en-US"/>
              </w:rPr>
              <w:t xml:space="preserve"> edition. OUP, 2020.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2. Thomson A.J., Martinet A.V., A Practical English Grammar: Exercises 1 &amp; 2, OUP, Oxford 1986.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3. Murphy R., English Grammar in Use, CUP, Cambridge 1998.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4. Watcyn-Jones P., Test Your Vocabulary Books 1-5, Pearson Education Ltd, various editions.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>5. Acklam R., Crace A., Total English Upper-Intermediate, Longman, 2006.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6. Kay S., Jones V., New Inside Out Upper-Intermediate, Macmillan, 2009.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7. Cotton D., Falvey D., Kent S., Language Leader Upper-Intermediate, Pearson Education Ltd, 2008.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8. Eales F., Oakes S., Speakout Upper-Intermediate, Pearson, 2011.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9. Clanfield L., Benne R. R., Global Upper-Intermediate, Macmillan Education, Oxford 2011.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>10. Jacob, M., Strutt, P., English for International Tourism Upper Intermediate Course Book, Pearson, 2007.Mann M., Taylore-Knowles S., Destination B2, Macmillan Education, 2008.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11. Hornby A. S., Oxford Advanced Learner’s Dictionary, OUP, various editions i inne słowniki.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>12.źródła internetowe, materiały autorskie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  <w:lang w:val="en-US"/>
        </w:rPr>
      </w:pPr>
      <w:r>
        <w:rPr>
          <w:rFonts w:cs="Arial" w:ascii="Arial" w:hAnsi="Arial"/>
          <w:sz w:val="22"/>
          <w:szCs w:val="16"/>
          <w:lang w:val="en-US"/>
        </w:rPr>
      </w:r>
    </w:p>
    <w:p>
      <w:pPr>
        <w:pStyle w:val="Normal"/>
        <w:rPr>
          <w:rFonts w:ascii="Arial" w:hAnsi="Arial" w:cs="Arial"/>
          <w:sz w:val="22"/>
          <w:szCs w:val="16"/>
          <w:lang w:val="en-US"/>
        </w:rPr>
      </w:pPr>
      <w:r>
        <w:rPr>
          <w:rFonts w:cs="Arial" w:ascii="Arial" w:hAnsi="Arial"/>
          <w:sz w:val="22"/>
          <w:szCs w:val="16"/>
          <w:lang w:val="en-US"/>
        </w:rPr>
      </w:r>
    </w:p>
    <w:p>
      <w:pPr>
        <w:pStyle w:val="Tekstdymka1"/>
        <w:rPr>
          <w:rFonts w:ascii="Arial" w:hAnsi="Arial" w:cs="Arial"/>
          <w:sz w:val="22"/>
          <w:lang w:val="en-US"/>
        </w:rPr>
      </w:pPr>
      <w:r>
        <w:rPr>
          <w:rFonts w:cs="Arial" w:ascii="Arial" w:hAnsi="Arial"/>
          <w:sz w:val="22"/>
          <w:lang w:val="en-US"/>
        </w:rPr>
      </w:r>
    </w:p>
    <w:p>
      <w:pPr>
        <w:pStyle w:val="Tekstdymka1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>Bilans godzinowy zgodny z CNPS (Całkowity Nakład Pracy Studenta)</w:t>
      </w:r>
    </w:p>
    <w:p>
      <w:pPr>
        <w:pStyle w:val="Tekstdymka1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tbl>
      <w:tblPr>
        <w:tblW w:w="958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66"/>
        <w:gridCol w:w="5749"/>
        <w:gridCol w:w="1067"/>
      </w:tblGrid>
      <w:tr>
        <w:trPr>
          <w:trHeight w:val="334" w:hRule="atLeast"/>
          <w:cantSplit w:val="true"/>
        </w:trPr>
        <w:tc>
          <w:tcPr>
            <w:tcW w:w="27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</w:tr>
      <w:tr>
        <w:trPr>
          <w:trHeight w:val="334" w:hRule="atLeast"/>
          <w:cantSplit w:val="true"/>
        </w:trPr>
        <w:tc>
          <w:tcPr>
            <w:tcW w:w="27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30</w:t>
            </w:r>
          </w:p>
        </w:tc>
      </w:tr>
      <w:tr>
        <w:trPr>
          <w:trHeight w:val="334" w:hRule="atLeast"/>
          <w:cantSplit w:val="true"/>
        </w:trPr>
        <w:tc>
          <w:tcPr>
            <w:tcW w:w="27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15</w:t>
            </w:r>
          </w:p>
        </w:tc>
      </w:tr>
      <w:tr>
        <w:trPr>
          <w:trHeight w:val="334" w:hRule="atLeast"/>
          <w:cantSplit w:val="true"/>
        </w:trPr>
        <w:tc>
          <w:tcPr>
            <w:tcW w:w="27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7</w:t>
            </w:r>
          </w:p>
        </w:tc>
      </w:tr>
      <w:tr>
        <w:trPr>
          <w:trHeight w:val="334" w:hRule="atLeast"/>
          <w:cantSplit w:val="true"/>
        </w:trPr>
        <w:tc>
          <w:tcPr>
            <w:tcW w:w="27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6</w:t>
            </w:r>
          </w:p>
        </w:tc>
      </w:tr>
      <w:tr>
        <w:trPr>
          <w:trHeight w:val="334" w:hRule="atLeast"/>
          <w:cantSplit w:val="true"/>
        </w:trPr>
        <w:tc>
          <w:tcPr>
            <w:tcW w:w="27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7</w:t>
            </w:r>
          </w:p>
        </w:tc>
      </w:tr>
      <w:tr>
        <w:trPr>
          <w:trHeight w:val="334" w:hRule="atLeast"/>
          <w:cantSplit w:val="true"/>
        </w:trPr>
        <w:tc>
          <w:tcPr>
            <w:tcW w:w="27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10</w:t>
            </w:r>
          </w:p>
        </w:tc>
      </w:tr>
      <w:tr>
        <w:trPr>
          <w:trHeight w:val="365" w:hRule="atLeast"/>
        </w:trPr>
        <w:tc>
          <w:tcPr>
            <w:tcW w:w="8515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75</w:t>
            </w:r>
          </w:p>
        </w:tc>
      </w:tr>
      <w:tr>
        <w:trPr>
          <w:trHeight w:val="392" w:hRule="atLeast"/>
        </w:trPr>
        <w:tc>
          <w:tcPr>
            <w:tcW w:w="8515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3</w:t>
            </w:r>
          </w:p>
        </w:tc>
      </w:tr>
    </w:tbl>
    <w:p>
      <w:pPr>
        <w:pStyle w:val="Tekstdymka1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Tekstdymka1"/>
        <w:rPr>
          <w:rFonts w:ascii="Arial" w:hAnsi="Arial" w:cs="Arial"/>
          <w:sz w:val="22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454" w:top="1276" w:footer="709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Tahoma">
    <w:charset w:val="ee"/>
    <w:family w:val="roman"/>
    <w:pitch w:val="variable"/>
  </w:font>
  <w:font w:name="Courier New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Calibri">
    <w:charset w:val="ee"/>
    <w:family w:val="roman"/>
    <w:pitch w:val="variable"/>
  </w:font>
  <w:font w:name="Candar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true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0"/>
      <w:jc w:val="right"/>
      <w:rPr>
        <w:b/>
        <w:b/>
        <w:bCs/>
        <w:i/>
        <w:i/>
        <w:iCs/>
        <w:color w:val="800000"/>
        <w:sz w:val="18"/>
        <w:szCs w:val="18"/>
      </w:rPr>
    </w:pPr>
    <w:r>
      <w:rPr>
        <w:b/>
        <w:bCs/>
        <w:i/>
        <w:iCs/>
        <w:color w:val="800000"/>
        <w:sz w:val="18"/>
        <w:szCs w:val="18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0"/>
      <w:jc w:val="right"/>
      <w:rPr>
        <w:b/>
        <w:b/>
        <w:bCs/>
        <w:i/>
        <w:i/>
        <w:iCs/>
        <w:color w:val="800000"/>
        <w:sz w:val="18"/>
        <w:szCs w:val="18"/>
      </w:rPr>
    </w:pPr>
    <w:r>
      <w:rPr>
        <w:b/>
        <w:bCs/>
        <w:i/>
        <w:iCs/>
        <w:color w:val="800000"/>
        <w:sz w:val="18"/>
        <w:szCs w:val="1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doNotHyphenateCaps/>
  <w:hyphenationZone w:val="425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Plain Text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12b27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Heading1">
    <w:name w:val="Heading 1"/>
    <w:basedOn w:val="Normal"/>
    <w:next w:val="Normal"/>
    <w:qFormat/>
    <w:rsid w:val="00412b27"/>
    <w:pPr>
      <w:keepNext w:val="true"/>
      <w:jc w:val="center"/>
      <w:outlineLvl w:val="0"/>
    </w:pPr>
    <w:rPr>
      <w:rFonts w:ascii="Verdana" w:hAnsi="Verdana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numeracji" w:customStyle="1">
    <w:name w:val="Znaki numeracji"/>
    <w:qFormat/>
    <w:rsid w:val="00412b27"/>
    <w:rPr/>
  </w:style>
  <w:style w:type="character" w:styleId="Pagenumber">
    <w:name w:val="page number"/>
    <w:semiHidden/>
    <w:qFormat/>
    <w:rsid w:val="00412b27"/>
    <w:rPr>
      <w:sz w:val="14"/>
      <w:szCs w:val="14"/>
    </w:rPr>
  </w:style>
  <w:style w:type="character" w:styleId="Annotationreference">
    <w:name w:val="annotation reference"/>
    <w:semiHidden/>
    <w:qFormat/>
    <w:rsid w:val="00412b27"/>
    <w:rPr>
      <w:sz w:val="16"/>
      <w:szCs w:val="16"/>
    </w:rPr>
  </w:style>
  <w:style w:type="character" w:styleId="FootnoteCharacters">
    <w:name w:val="Footnote Characters"/>
    <w:semiHidden/>
    <w:qFormat/>
    <w:rsid w:val="00412b27"/>
    <w:rPr>
      <w:vertAlign w:val="superscript"/>
    </w:rPr>
  </w:style>
  <w:style w:type="character" w:styleId="FootnoteAnchor">
    <w:name w:val="Footnote Reference"/>
    <w:rPr>
      <w:vertAlign w:val="superscript"/>
    </w:rPr>
  </w:style>
  <w:style w:type="character" w:styleId="StopkaZnak" w:customStyle="1">
    <w:name w:val="Stopka Znak"/>
    <w:qFormat/>
    <w:rsid w:val="00412b27"/>
    <w:rPr>
      <w:sz w:val="24"/>
      <w:szCs w:val="24"/>
    </w:rPr>
  </w:style>
  <w:style w:type="character" w:styleId="TekstdymkaZnak" w:customStyle="1">
    <w:name w:val="Tekst dymka Znak"/>
    <w:link w:val="BalloonText"/>
    <w:uiPriority w:val="99"/>
    <w:semiHidden/>
    <w:qFormat/>
    <w:rsid w:val="00827d3b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semiHidden/>
    <w:qFormat/>
    <w:rsid w:val="009026ff"/>
    <w:rPr/>
  </w:style>
  <w:style w:type="character" w:styleId="TematkomentarzaZnak" w:customStyle="1">
    <w:name w:val="Temat komentarza Znak"/>
    <w:link w:val="Annotationsubject"/>
    <w:uiPriority w:val="99"/>
    <w:semiHidden/>
    <w:qFormat/>
    <w:rsid w:val="009026ff"/>
    <w:rPr>
      <w:b/>
      <w:bCs/>
    </w:rPr>
  </w:style>
  <w:style w:type="character" w:styleId="ZwykytekstZnak" w:customStyle="1">
    <w:name w:val="Zwykły tekst Znak"/>
    <w:basedOn w:val="DefaultParagraphFont"/>
    <w:link w:val="PlainText"/>
    <w:semiHidden/>
    <w:qFormat/>
    <w:rsid w:val="00385ebf"/>
    <w:rPr>
      <w:rFonts w:ascii="Courier New" w:hAnsi="Courier New"/>
    </w:rPr>
  </w:style>
  <w:style w:type="character" w:styleId="Normaltextrun" w:customStyle="1">
    <w:name w:val="normaltextrun"/>
    <w:basedOn w:val="DefaultParagraphFont"/>
    <w:qFormat/>
    <w:rsid w:val="002d6e66"/>
    <w:rPr/>
  </w:style>
  <w:style w:type="character" w:styleId="Eop" w:customStyle="1">
    <w:name w:val="eop"/>
    <w:basedOn w:val="DefaultParagraphFont"/>
    <w:qFormat/>
    <w:rsid w:val="002d6e66"/>
    <w:rPr/>
  </w:style>
  <w:style w:type="character" w:styleId="Spellingerror" w:customStyle="1">
    <w:name w:val="spellingerror"/>
    <w:basedOn w:val="DefaultParagraphFont"/>
    <w:qFormat/>
    <w:rsid w:val="002d6e66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semiHidden/>
    <w:rsid w:val="00412b27"/>
    <w:pPr>
      <w:spacing w:before="0" w:after="120"/>
    </w:pPr>
    <w:rPr/>
  </w:style>
  <w:style w:type="paragraph" w:styleId="List">
    <w:name w:val="List"/>
    <w:basedOn w:val="TextBody"/>
    <w:semiHidden/>
    <w:rsid w:val="00412b27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Podpis1" w:customStyle="1">
    <w:name w:val="Podpis1"/>
    <w:basedOn w:val="Normal"/>
    <w:qFormat/>
    <w:rsid w:val="00412b27"/>
    <w:pPr>
      <w:suppressLineNumbers/>
      <w:spacing w:before="120" w:after="120"/>
    </w:pPr>
    <w:rPr>
      <w:i/>
      <w:iCs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next w:val="TextBody"/>
    <w:semiHidden/>
    <w:rsid w:val="00412b27"/>
    <w:pPr>
      <w:keepNext w:val="true"/>
      <w:spacing w:before="240" w:after="120"/>
    </w:pPr>
    <w:rPr>
      <w:rFonts w:ascii="Arial" w:hAnsi="Arial" w:cs="Arial"/>
      <w:sz w:val="28"/>
      <w:szCs w:val="28"/>
    </w:rPr>
  </w:style>
  <w:style w:type="paragraph" w:styleId="Footer">
    <w:name w:val="Footer"/>
    <w:basedOn w:val="Normal"/>
    <w:semiHidden/>
    <w:rsid w:val="00412b27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awartotabeli" w:customStyle="1">
    <w:name w:val="Zawartość tabeli"/>
    <w:basedOn w:val="Normal"/>
    <w:qFormat/>
    <w:rsid w:val="00412b27"/>
    <w:pPr>
      <w:suppressLineNumbers/>
    </w:pPr>
    <w:rPr/>
  </w:style>
  <w:style w:type="paragraph" w:styleId="Nagwektabeli" w:customStyle="1">
    <w:name w:val="Nagłówek tabeli"/>
    <w:basedOn w:val="Zawartotabeli"/>
    <w:qFormat/>
    <w:rsid w:val="00412b27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xtBody"/>
    <w:qFormat/>
    <w:rsid w:val="00412b27"/>
    <w:pPr/>
    <w:rPr/>
  </w:style>
  <w:style w:type="paragraph" w:styleId="Indeks" w:customStyle="1">
    <w:name w:val="Indeks"/>
    <w:basedOn w:val="Normal"/>
    <w:qFormat/>
    <w:rsid w:val="00412b27"/>
    <w:pPr>
      <w:suppressLineNumbers/>
    </w:pPr>
    <w:rPr/>
  </w:style>
  <w:style w:type="paragraph" w:styleId="Annotationtext">
    <w:name w:val="annotation text"/>
    <w:basedOn w:val="Normal"/>
    <w:link w:val="TekstkomentarzaZnak"/>
    <w:semiHidden/>
    <w:qFormat/>
    <w:rsid w:val="00412b27"/>
    <w:pPr/>
    <w:rPr>
      <w:sz w:val="20"/>
      <w:szCs w:val="20"/>
    </w:rPr>
  </w:style>
  <w:style w:type="paragraph" w:styleId="Tematkomentarza1" w:customStyle="1">
    <w:name w:val="Temat komentarza1"/>
    <w:basedOn w:val="Annotationtext"/>
    <w:next w:val="Annotationtext"/>
    <w:qFormat/>
    <w:rsid w:val="00412b27"/>
    <w:pPr/>
    <w:rPr>
      <w:b/>
      <w:bCs/>
    </w:rPr>
  </w:style>
  <w:style w:type="paragraph" w:styleId="Tekstdymka1" w:customStyle="1">
    <w:name w:val="Tekst dymka1"/>
    <w:basedOn w:val="Normal"/>
    <w:qFormat/>
    <w:rsid w:val="00412b27"/>
    <w:pPr/>
    <w:rPr>
      <w:rFonts w:ascii="Tahoma" w:hAnsi="Tahoma" w:cs="Tahoma"/>
      <w:sz w:val="16"/>
      <w:szCs w:val="16"/>
    </w:rPr>
  </w:style>
  <w:style w:type="paragraph" w:styleId="Footnote">
    <w:name w:val="Footnote Text"/>
    <w:basedOn w:val="Normal"/>
    <w:semiHidden/>
    <w:rsid w:val="00412b27"/>
    <w:pPr/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27d3b"/>
    <w:pPr/>
    <w:rPr>
      <w:rFonts w:ascii="Tahoma" w:hAnsi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9026ff"/>
    <w:pPr/>
    <w:rPr>
      <w:b/>
      <w:bCs/>
    </w:rPr>
  </w:style>
  <w:style w:type="paragraph" w:styleId="PlainText">
    <w:name w:val="Plain Text"/>
    <w:basedOn w:val="Normal"/>
    <w:link w:val="ZwykytekstZnak"/>
    <w:semiHidden/>
    <w:qFormat/>
    <w:rsid w:val="00385ebf"/>
    <w:pPr>
      <w:widowControl/>
      <w:suppressAutoHyphens w:val="false"/>
    </w:pPr>
    <w:rPr>
      <w:rFonts w:ascii="Courier New" w:hAnsi="Courier New"/>
      <w:sz w:val="20"/>
      <w:szCs w:val="20"/>
    </w:rPr>
  </w:style>
  <w:style w:type="paragraph" w:styleId="Paragraph" w:customStyle="1">
    <w:name w:val="paragraph"/>
    <w:basedOn w:val="Normal"/>
    <w:qFormat/>
    <w:rsid w:val="002d6e66"/>
    <w:pPr>
      <w:widowControl/>
      <w:suppressAutoHyphens w:val="false"/>
    </w:pPr>
    <w:rPr>
      <w:rFonts w:ascii="Calibri" w:hAnsi="Calibri" w:cs="Calibri"/>
      <w:sz w:val="22"/>
      <w:szCs w:val="22"/>
    </w:rPr>
  </w:style>
  <w:style w:type="paragraph" w:styleId="BalloonText1" w:customStyle="1">
    <w:name w:val="Balloon Text1"/>
    <w:basedOn w:val="Normal"/>
    <w:qFormat/>
    <w:rsid w:val="00c31b0c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<Relationship Id="rId13" Type="http://schemas.openxmlformats.org/officeDocument/2006/relationships/customXml" Target="../customXml/item2.xml"/><Relationship Id="rId14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9C5A50395229A43A324A9C35EFD3B10" ma:contentTypeVersion="4" ma:contentTypeDescription="Utwórz nowy dokument." ma:contentTypeScope="" ma:versionID="cfc7df20a33f5743154e16b7fdd089c4">
  <xsd:schema xmlns:xsd="http://www.w3.org/2001/XMLSchema" xmlns:xs="http://www.w3.org/2001/XMLSchema" xmlns:p="http://schemas.microsoft.com/office/2006/metadata/properties" xmlns:ns2="8c29c5d2-85d2-43b4-af98-e7119c4ac7cc" xmlns:ns3="5468af13-47ef-4a0f-9757-82f5d18e8547" targetNamespace="http://schemas.microsoft.com/office/2006/metadata/properties" ma:root="true" ma:fieldsID="d7ee7c7440b80bee9d5766edc85c6210" ns2:_="" ns3:_="">
    <xsd:import namespace="8c29c5d2-85d2-43b4-af98-e7119c4ac7cc"/>
    <xsd:import namespace="5468af13-47ef-4a0f-9757-82f5d18e85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29c5d2-85d2-43b4-af98-e7119c4ac7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68af13-47ef-4a0f-9757-82f5d18e854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9DA10E-2A86-427B-8F65-1FDFA5FB9C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4B5072-55E3-4EDC-93F8-474EA03359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C5690F-11DD-41F3-B3B6-8E14A30B6DD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LibreOffice/7.4.5.1$Windows_X86_64 LibreOffice_project/9c0871452b3918c1019dde9bfac75448afc4b57f</Application>
  <AppVersion>15.0000</AppVersion>
  <Pages>5</Pages>
  <Words>940</Words>
  <Characters>6098</Characters>
  <CharactersWithSpaces>6888</CharactersWithSpaces>
  <Paragraphs>190</Paragraphs>
  <Company>Akademia Pedagogiczna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2018-11-06T21:30:00Z</dcterms:created>
  <dc:creator>Barbara Wilk</dc:creator>
  <dc:description/>
  <dc:language>en-GB</dc:language>
  <cp:lastModifiedBy/>
  <cp:lastPrinted>2012-01-27T06:28:00Z</cp:lastPrinted>
  <dcterms:modified xsi:type="dcterms:W3CDTF">2023-09-14T16:10:29Z</dcterms:modified>
  <cp:revision>16</cp:revision>
  <dc:subject/>
  <dc:title>KARTA KURSU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0x01010039C5A50395229A43A324A9C35EFD3B10</vt:lpwstr>
  </property>
</Properties>
</file>