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rFonts w:ascii="Arial" w:hAnsi="Arial" w:cs="Arial"/>
          <w:i/>
          <w:i/>
          <w:iCs/>
          <w:sz w:val="22"/>
          <w:szCs w:val="22"/>
        </w:rPr>
      </w:pPr>
      <w:r>
        <w:rPr>
          <w:rFonts w:cs="Arial" w:ascii="Arial" w:hAnsi="Arial"/>
          <w:i/>
          <w:iCs/>
          <w:sz w:val="22"/>
          <w:szCs w:val="22"/>
        </w:rPr>
        <w:t>studia I stopnia, stacjonarne, 20</w:t>
      </w:r>
      <w:r>
        <w:rPr>
          <w:rFonts w:cs="Arial" w:ascii="Arial" w:hAnsi="Arial"/>
          <w:i/>
          <w:iCs/>
          <w:sz w:val="22"/>
          <w:szCs w:val="22"/>
        </w:rPr>
        <w:t>23</w:t>
      </w:r>
      <w:r>
        <w:rPr>
          <w:rFonts w:cs="Arial" w:ascii="Arial" w:hAnsi="Arial"/>
          <w:i/>
          <w:iCs/>
          <w:sz w:val="22"/>
          <w:szCs w:val="22"/>
        </w:rPr>
        <w:t>/</w:t>
      </w:r>
      <w:r>
        <w:rPr>
          <w:rFonts w:cs="Arial" w:ascii="Arial" w:hAnsi="Arial"/>
          <w:i/>
          <w:iCs/>
          <w:sz w:val="22"/>
          <w:szCs w:val="22"/>
        </w:rPr>
        <w:t>24</w:t>
      </w:r>
      <w:r>
        <w:rPr>
          <w:rFonts w:cs="Arial" w:ascii="Arial" w:hAnsi="Arial"/>
          <w:i/>
          <w:iCs/>
          <w:sz w:val="22"/>
          <w:szCs w:val="22"/>
        </w:rPr>
        <w:t>, semestr 3.</w:t>
      </w:r>
    </w:p>
    <w:p>
      <w:pPr>
        <w:pStyle w:val="Heading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b/>
          <w:sz w:val="24"/>
          <w:szCs w:val="24"/>
        </w:rPr>
        <w:t>KARTA KURSU</w:t>
      </w:r>
    </w:p>
    <w:p>
      <w:pPr>
        <w:pStyle w:val="Normal1"/>
        <w:jc w:val="center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jc w:val="center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jc w:val="center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tbl>
      <w:tblPr>
        <w:tblStyle w:val="a"/>
        <w:tblW w:w="9640" w:type="dxa"/>
        <w:jc w:val="left"/>
        <w:tblInd w:w="-11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984"/>
        <w:gridCol w:w="7655"/>
      </w:tblGrid>
      <w:tr>
        <w:trPr>
          <w:trHeight w:val="380" w:hRule="atLeast"/>
        </w:trPr>
        <w:tc>
          <w:tcPr>
            <w:tcW w:w="19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1"/>
              <w:widowControl w:val="false"/>
              <w:pBdr/>
              <w:spacing w:before="60" w:after="60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smallCaps/>
                <w:color w:val="000000"/>
                <w:sz w:val="20"/>
                <w:szCs w:val="20"/>
              </w:rPr>
              <w:t>JĘZYK ANGIELSKI</w:t>
            </w: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 xml:space="preserve"> B2-3s</w:t>
            </w:r>
          </w:p>
        </w:tc>
      </w:tr>
      <w:tr>
        <w:trPr>
          <w:trHeight w:val="360" w:hRule="atLeast"/>
        </w:trPr>
        <w:tc>
          <w:tcPr>
            <w:tcW w:w="19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1"/>
              <w:widowControl w:val="false"/>
              <w:pBdr/>
              <w:spacing w:before="60" w:after="60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English B2-3s</w:t>
            </w:r>
          </w:p>
        </w:tc>
      </w:tr>
    </w:tbl>
    <w:p>
      <w:pPr>
        <w:pStyle w:val="Normal1"/>
        <w:jc w:val="center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tbl>
      <w:tblPr>
        <w:tblStyle w:val="a0"/>
        <w:tblW w:w="9640" w:type="dxa"/>
        <w:jc w:val="left"/>
        <w:tblInd w:w="-8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3188"/>
        <w:gridCol w:w="3190"/>
        <w:gridCol w:w="3262"/>
      </w:tblGrid>
      <w:tr>
        <w:trPr/>
        <w:tc>
          <w:tcPr>
            <w:tcW w:w="3188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mgr Urszula Adamek</w:t>
            </w:r>
          </w:p>
        </w:tc>
        <w:tc>
          <w:tcPr>
            <w:tcW w:w="326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Zespół dydaktyczny</w:t>
            </w:r>
          </w:p>
        </w:tc>
      </w:tr>
      <w:tr>
        <w:trPr>
          <w:trHeight w:val="340" w:hRule="atLeast"/>
        </w:trPr>
        <w:tc>
          <w:tcPr>
            <w:tcW w:w="3188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pBdr/>
              <w:spacing w:lineRule="auto" w:line="276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3190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Normal1"/>
              <w:widowControl w:val="false"/>
              <w:pBdr/>
              <w:spacing w:lineRule="auto" w:line="276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3262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Zespół języka angielskiego</w:t>
            </w:r>
          </w:p>
        </w:tc>
      </w:tr>
      <w:tr>
        <w:trPr>
          <w:trHeight w:val="40" w:hRule="atLeast"/>
        </w:trPr>
        <w:tc>
          <w:tcPr>
            <w:tcW w:w="3188" w:type="dxa"/>
            <w:tcBorders>
              <w:top w:val="single" w:sz="2" w:space="0" w:color="95B3D7"/>
              <w:bottom w:val="single" w:sz="2" w:space="0" w:color="95B3D7"/>
            </w:tcBorders>
            <w:shd w:color="auto" w:fill="auto" w:val="clear"/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3190" w:type="dxa"/>
            <w:tcBorders>
              <w:top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3262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Normal1"/>
              <w:widowControl w:val="false"/>
              <w:pBdr/>
              <w:spacing w:lineRule="auto" w:line="276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318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262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Normal1"/>
              <w:widowControl w:val="false"/>
              <w:pBdr/>
              <w:spacing w:lineRule="auto" w:line="276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</w:tr>
    </w:tbl>
    <w:p>
      <w:pPr>
        <w:pStyle w:val="Normal1"/>
        <w:jc w:val="center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1"/>
        <w:jc w:val="center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>Opis kursu (cele kształcenia)</w:t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tbl>
      <w:tblPr>
        <w:tblStyle w:val="a1"/>
        <w:tblW w:w="9640" w:type="dxa"/>
        <w:jc w:val="left"/>
        <w:tblInd w:w="-7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640"/>
      </w:tblGrid>
      <w:tr>
        <w:trPr>
          <w:trHeight w:val="1360" w:hRule="atLeast"/>
        </w:trPr>
        <w:tc>
          <w:tcPr>
            <w:tcW w:w="964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1"/>
              <w:widowControl w:val="false"/>
              <w:numPr>
                <w:ilvl w:val="0"/>
                <w:numId w:val="1"/>
              </w:numPr>
              <w:ind w:left="714" w:hanging="357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Rozumienie dłuższych wypowiedzi, dyskusji i wykładów. Rozumienie szczegółowych informacji w programach radiowych i telewizyjnych dotyczących wydarzeń współczesnych lub tematów związanych z zainteresowaniami osobistymi lub zawodowymi (materiały w wersji oryginalnej). Przygotowanie do samodzielnego korzystania z angielskojęzycznych źródeł w tym stron internetowych.</w:t>
            </w:r>
          </w:p>
          <w:p>
            <w:pPr>
              <w:pStyle w:val="Normal1"/>
              <w:widowControl w:val="false"/>
              <w:numPr>
                <w:ilvl w:val="0"/>
                <w:numId w:val="1"/>
              </w:numPr>
              <w:ind w:left="714" w:hanging="357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Zwrócenie szczególnej uwagi na umiejętność swobodnej ustnej i pisemnej wypowiedzi w języku angielskim w codziennej komunikacji, a także umiejętność uzasadnienia własnego punktu widzenia w danej kwestii oraz podawania argumentów za i przeciw względem możliwych rozwiązań. Rozbudowanie zasobu słownictwa i doskonalenie go poprzez ćwiczenie wymowy oraz zwrócenie uwagi na frazeologię. Zaprezentowanie najważniejszych aspektów związanych z korzystaniem z jednojęzycznych słowników.</w:t>
            </w:r>
          </w:p>
          <w:p>
            <w:pPr>
              <w:pStyle w:val="Normal1"/>
              <w:widowControl w:val="false"/>
              <w:numPr>
                <w:ilvl w:val="0"/>
                <w:numId w:val="1"/>
              </w:num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Dostarczenie wiedzy związanej z elementami języka specjalistycznego z zakresu kierunku kształcenia. Przygotowanie absolwentów do samodzielnego poszerzania wiedzy związanej z wykorzystaniem języka obcego w życiu zawodowym.</w:t>
            </w:r>
          </w:p>
        </w:tc>
      </w:tr>
    </w:tbl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>Warunki wstępne</w:t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tbl>
      <w:tblPr>
        <w:tblStyle w:val="a2"/>
        <w:tblW w:w="17339" w:type="dxa"/>
        <w:jc w:val="left"/>
        <w:tblInd w:w="-8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940"/>
        <w:gridCol w:w="7700"/>
        <w:gridCol w:w="7699"/>
      </w:tblGrid>
      <w:tr>
        <w:trPr>
          <w:trHeight w:val="540" w:hRule="atLeast"/>
        </w:trPr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Wiedza</w:t>
            </w:r>
          </w:p>
        </w:tc>
        <w:tc>
          <w:tcPr>
            <w:tcW w:w="770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  <w:p>
            <w:pPr>
              <w:pStyle w:val="Normal1"/>
              <w:widowControl w:val="false"/>
              <w:pBdr/>
              <w:jc w:val="both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Wiedza nabyta w trakcie kursu B2-2s</w:t>
            </w:r>
          </w:p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1"/>
              <w:widowControl w:val="false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</w:r>
          </w:p>
          <w:p>
            <w:pPr>
              <w:pStyle w:val="Normal1"/>
              <w:widowControl w:val="false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</w:r>
          </w:p>
          <w:p>
            <w:pPr>
              <w:pStyle w:val="Normal1"/>
              <w:widowControl w:val="false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</w:r>
          </w:p>
        </w:tc>
      </w:tr>
      <w:tr>
        <w:trPr>
          <w:trHeight w:val="560" w:hRule="atLeast"/>
        </w:trPr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770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1"/>
              <w:widowControl w:val="false"/>
              <w:pBdr/>
              <w:jc w:val="both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Umiejętności nabyte w trakcie kursu B2-2s</w:t>
            </w:r>
          </w:p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1"/>
              <w:widowControl w:val="false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</w:r>
          </w:p>
          <w:p>
            <w:pPr>
              <w:pStyle w:val="Normal1"/>
              <w:widowControl w:val="false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Kursy</w:t>
            </w:r>
          </w:p>
        </w:tc>
        <w:tc>
          <w:tcPr>
            <w:tcW w:w="770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1"/>
              <w:widowControl w:val="false"/>
              <w:pBdr/>
              <w:jc w:val="both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Kurs B2-2s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1"/>
              <w:widowControl w:val="false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</w:r>
          </w:p>
          <w:p>
            <w:pPr>
              <w:pStyle w:val="Normal1"/>
              <w:widowControl w:val="false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</w:r>
          </w:p>
        </w:tc>
      </w:tr>
    </w:tbl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 xml:space="preserve">Efekty uczenia się </w:t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tbl>
      <w:tblPr>
        <w:tblStyle w:val="a3"/>
        <w:tblW w:w="9640" w:type="dxa"/>
        <w:jc w:val="left"/>
        <w:tblInd w:w="-7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979"/>
        <w:gridCol w:w="5296"/>
        <w:gridCol w:w="2365"/>
      </w:tblGrid>
      <w:tr>
        <w:trPr>
          <w:trHeight w:val="920" w:hRule="atLeast"/>
        </w:trPr>
        <w:tc>
          <w:tcPr>
            <w:tcW w:w="1979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themeFill="accent1" w:themeFillTint="33" w:val="clear"/>
            <w:vAlign w:val="cente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themeFill="accent1" w:themeFillTint="33" w:val="clear"/>
            <w:vAlign w:val="cente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3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themeFill="accent1" w:themeFillTint="33" w:val="clear"/>
            <w:vAlign w:val="cente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Odniesienie do efektów kierunkowych</w:t>
            </w:r>
          </w:p>
        </w:tc>
      </w:tr>
      <w:tr>
        <w:trPr>
          <w:trHeight w:val="1820" w:hRule="atLeast"/>
        </w:trPr>
        <w:tc>
          <w:tcPr>
            <w:tcW w:w="1979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1"/>
              <w:widowControl w:val="false"/>
              <w:pBdr/>
              <w:spacing w:lineRule="auto" w:line="276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52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1"/>
              <w:widowControl w:val="false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 xml:space="preserve">W1 Student zna struktury gramatyczne charakterystyczne dla omawianych treści. </w:t>
            </w:r>
          </w:p>
          <w:p>
            <w:pPr>
              <w:pStyle w:val="Normal1"/>
              <w:widowControl w:val="false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 xml:space="preserve">W2 Student zna struktury leksykalne charakterystyczne dla omawianych treści. </w:t>
            </w:r>
          </w:p>
          <w:p>
            <w:pPr>
              <w:pStyle w:val="Normal1"/>
              <w:widowControl w:val="false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W3 Student posiada podstawową wiedzę z zakresu języka specjalistycznego.</w:t>
            </w:r>
          </w:p>
          <w:p>
            <w:pPr>
              <w:pStyle w:val="Normal1"/>
              <w:widowControl w:val="false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23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1"/>
              <w:widowControl w:val="false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  <w:p>
            <w:pPr>
              <w:pStyle w:val="Normal1"/>
              <w:widowControl w:val="false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</w:tr>
    </w:tbl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tbl>
      <w:tblPr>
        <w:tblStyle w:val="a4"/>
        <w:tblW w:w="9640" w:type="dxa"/>
        <w:jc w:val="left"/>
        <w:tblInd w:w="-7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984"/>
        <w:gridCol w:w="5246"/>
        <w:gridCol w:w="2410"/>
      </w:tblGrid>
      <w:tr>
        <w:trPr>
          <w:trHeight w:val="920" w:hRule="atLeast"/>
        </w:trPr>
        <w:tc>
          <w:tcPr>
            <w:tcW w:w="1984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themeFill="accent1" w:themeFillTint="33" w:val="clear"/>
            <w:vAlign w:val="cente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524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themeFill="accent1" w:themeFillTint="33" w:val="clear"/>
            <w:vAlign w:val="cente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themeFill="accent1" w:themeFillTint="33" w:val="clear"/>
            <w:vAlign w:val="cente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Odniesienie do efektów kierunkowych</w:t>
            </w:r>
          </w:p>
        </w:tc>
      </w:tr>
      <w:tr>
        <w:trPr>
          <w:trHeight w:val="2100" w:hRule="atLeast"/>
        </w:trPr>
        <w:tc>
          <w:tcPr>
            <w:tcW w:w="1984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1"/>
              <w:widowControl w:val="false"/>
              <w:pBdr/>
              <w:spacing w:lineRule="auto" w:line="276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524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U1 Student samodzielnie umie tworzyć i wykorzystać struktury gramatyczne charakterystyczne dla omawianych treści.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U2 Student posiada umiejętność wykorzystania struktur leksykalnych charakterystycznych dla omawianych treści.</w:t>
            </w:r>
          </w:p>
          <w:p>
            <w:pPr>
              <w:pStyle w:val="Normal1"/>
              <w:widowControl w:val="false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U3 Student potrafi posługiwać się podstawowymi sformułowaniami z zakresu języka specjalistycznego.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1"/>
              <w:widowControl w:val="false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</w:tr>
    </w:tbl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tbl>
      <w:tblPr>
        <w:tblStyle w:val="a5"/>
        <w:tblW w:w="9640" w:type="dxa"/>
        <w:jc w:val="left"/>
        <w:tblInd w:w="-7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984"/>
        <w:gridCol w:w="5246"/>
        <w:gridCol w:w="2410"/>
      </w:tblGrid>
      <w:tr>
        <w:trPr>
          <w:trHeight w:val="800" w:hRule="atLeast"/>
        </w:trPr>
        <w:tc>
          <w:tcPr>
            <w:tcW w:w="1984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themeFill="accent1" w:themeFillTint="33" w:val="clear"/>
            <w:vAlign w:val="cente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Kompetencje społeczne</w:t>
            </w:r>
          </w:p>
        </w:tc>
        <w:tc>
          <w:tcPr>
            <w:tcW w:w="524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themeFill="accent1" w:themeFillTint="33" w:val="clear"/>
            <w:vAlign w:val="cente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themeFill="accent1" w:themeFillTint="33" w:val="clear"/>
            <w:vAlign w:val="cente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Odniesienie do efektów kierunkowych</w:t>
            </w:r>
          </w:p>
        </w:tc>
      </w:tr>
      <w:tr>
        <w:trPr>
          <w:trHeight w:val="1980" w:hRule="atLeast"/>
        </w:trPr>
        <w:tc>
          <w:tcPr>
            <w:tcW w:w="1984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1"/>
              <w:widowControl w:val="false"/>
              <w:pBdr/>
              <w:spacing w:lineRule="auto" w:line="276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524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1"/>
              <w:widowControl w:val="false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 xml:space="preserve">K1 Student posiada kompetencje w zakresie stosowania wiedzy teoretycznej i praktycznej nabytej w trakcie kursu oraz swobodnie komunikuje się w języku angielskim. </w:t>
            </w:r>
          </w:p>
          <w:p>
            <w:pPr>
              <w:pStyle w:val="Normal1"/>
              <w:widowControl w:val="false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 xml:space="preserve">K2 Student potrafi funkcjonować w obcej kulturze, uczestniczy w jej życiu codziennym, inicjuje kontakty międzynarodowe. </w:t>
            </w:r>
          </w:p>
          <w:p>
            <w:pPr>
              <w:pStyle w:val="Normal1"/>
              <w:widowControl w:val="false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K3 Student umiejętnie uczestniczy w pracach w środowisku międzynarodowym.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1"/>
              <w:widowControl w:val="false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</w:tr>
    </w:tbl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tbl>
      <w:tblPr>
        <w:tblStyle w:val="a6"/>
        <w:tblW w:w="9639" w:type="dxa"/>
        <w:jc w:val="left"/>
        <w:tblInd w:w="-19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609"/>
        <w:gridCol w:w="1225"/>
        <w:gridCol w:w="850"/>
        <w:gridCol w:w="272"/>
        <w:gridCol w:w="862"/>
        <w:gridCol w:w="315"/>
        <w:gridCol w:w="820"/>
        <w:gridCol w:w="284"/>
        <w:gridCol w:w="849"/>
        <w:gridCol w:w="284"/>
        <w:gridCol w:w="851"/>
        <w:gridCol w:w="284"/>
        <w:gridCol w:w="849"/>
        <w:gridCol w:w="284"/>
      </w:tblGrid>
      <w:tr>
        <w:trPr>
          <w:trHeight w:val="420" w:hRule="atLeast"/>
        </w:trPr>
        <w:tc>
          <w:tcPr>
            <w:tcW w:w="9638" w:type="dxa"/>
            <w:gridSpan w:val="14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ind w:left="45" w:right="137" w:hanging="0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Organizacja</w:t>
            </w:r>
          </w:p>
        </w:tc>
      </w:tr>
      <w:tr>
        <w:trPr>
          <w:trHeight w:val="640" w:hRule="atLeast"/>
        </w:trPr>
        <w:tc>
          <w:tcPr>
            <w:tcW w:w="160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Wykład</w:t>
            </w:r>
          </w:p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Ćwiczenia w grupach</w:t>
            </w:r>
          </w:p>
        </w:tc>
      </w:tr>
      <w:tr>
        <w:trPr>
          <w:trHeight w:val="460" w:hRule="atLeast"/>
        </w:trPr>
        <w:tc>
          <w:tcPr>
            <w:tcW w:w="1609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1"/>
              <w:widowControl w:val="false"/>
              <w:pBdr/>
              <w:spacing w:lineRule="auto" w:line="276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25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1"/>
              <w:widowControl w:val="false"/>
              <w:pBdr/>
              <w:spacing w:lineRule="auto" w:line="276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6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2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5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E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</w:tr>
      <w:tr>
        <w:trPr>
          <w:trHeight w:val="480" w:hRule="atLeast"/>
        </w:trPr>
        <w:tc>
          <w:tcPr>
            <w:tcW w:w="160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2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77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0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5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</w:tr>
      <w:tr>
        <w:trPr>
          <w:trHeight w:val="460" w:hRule="atLeast"/>
        </w:trPr>
        <w:tc>
          <w:tcPr>
            <w:tcW w:w="160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22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2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77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0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5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</w:tr>
    </w:tbl>
    <w:p>
      <w:pPr>
        <w:pStyle w:val="Normal1"/>
        <w:pBdr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1"/>
        <w:pBdr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>Opis metod prowadzenia zajęć</w:t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tbl>
      <w:tblPr>
        <w:tblStyle w:val="a7"/>
        <w:tblW w:w="9622" w:type="dxa"/>
        <w:jc w:val="left"/>
        <w:tblInd w:w="-7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622"/>
      </w:tblGrid>
      <w:tr>
        <w:trPr>
          <w:trHeight w:val="1920" w:hRule="atLeast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Paragraph"/>
              <w:widowControl w:val="false"/>
              <w:shd w:val="clear" w:color="auto" w:fill="FFFFFF"/>
              <w:rPr>
                <w:rFonts w:ascii="Arial" w:hAnsi="Arial" w:cs="Arial"/>
              </w:rPr>
            </w:pPr>
            <w:r>
              <w:rPr>
                <w:rStyle w:val="Normaltextrun"/>
                <w:rFonts w:cs="Arial" w:ascii="Arial" w:hAnsi="Arial"/>
                <w:iCs/>
              </w:rPr>
              <w:t>Metoda komunikacyjna</w:t>
            </w:r>
            <w:r>
              <w:rPr>
                <w:rStyle w:val="Eop"/>
                <w:rFonts w:cs="Arial" w:ascii="Arial" w:hAnsi="Arial"/>
                <w:iCs/>
              </w:rPr>
              <w:t> </w:t>
            </w:r>
          </w:p>
          <w:p>
            <w:pPr>
              <w:pStyle w:val="Paragraph"/>
              <w:widowControl w:val="false"/>
              <w:shd w:val="clear" w:color="auto" w:fill="FFFFFF"/>
              <w:rPr>
                <w:rFonts w:ascii="Arial" w:hAnsi="Arial" w:cs="Arial"/>
              </w:rPr>
            </w:pPr>
            <w:r>
              <w:rPr>
                <w:rStyle w:val="Normaltextrun"/>
                <w:rFonts w:cs="Arial" w:ascii="Arial" w:hAnsi="Arial"/>
                <w:iCs/>
              </w:rPr>
              <w:t>Celem metody komunikacyjnej jest wykształcenie i doskonalenie umiejętności skutecznego komunikowania się w języku obcym w sposób adekwatny do konkretnych okoliczności. </w:t>
            </w:r>
            <w:r>
              <w:rPr>
                <w:rStyle w:val="Eop"/>
                <w:rFonts w:cs="Arial" w:ascii="Arial" w:hAnsi="Arial"/>
                <w:iCs/>
              </w:rPr>
              <w:t> </w:t>
            </w:r>
          </w:p>
          <w:p>
            <w:pPr>
              <w:pStyle w:val="Paragraph"/>
              <w:widowControl w:val="false"/>
              <w:shd w:val="clear" w:color="auto" w:fill="FFFFFF"/>
              <w:rPr>
                <w:rFonts w:ascii="Arial" w:hAnsi="Arial" w:cs="Arial"/>
              </w:rPr>
            </w:pPr>
            <w:r>
              <w:rPr>
                <w:rStyle w:val="Normaltextrun"/>
                <w:rFonts w:cs="Arial" w:ascii="Arial" w:hAnsi="Arial"/>
                <w:iCs/>
              </w:rPr>
              <w:t>Stosowanie tej metody podczas zajęć ma na celu stworzenie różnorodnych sytuacji, w których można znaleźć się w życiu codziennym. Szczególnie istotne są ćwiczenia, w których uczestnicy odgrywają dialogi w parach, bądź prowadzą rozmowy w małych grupach. Metoda komunikacyjna opiera się na wykorzystywaniu w trakcie zajęć autentycznych materiałów audiowizualnych, dzięki którym studenci muszą rozwiązywać rzeczywiste problemy z życia codziennego.</w:t>
            </w:r>
            <w:r>
              <w:rPr>
                <w:rStyle w:val="Eop"/>
                <w:rFonts w:cs="Arial" w:ascii="Arial" w:hAnsi="Arial"/>
                <w:iCs/>
              </w:rPr>
              <w:t> </w:t>
            </w:r>
          </w:p>
          <w:p>
            <w:pPr>
              <w:pStyle w:val="Paragraph"/>
              <w:widowControl w:val="false"/>
              <w:shd w:val="clear" w:color="auto" w:fill="FFFFFF"/>
              <w:rPr>
                <w:rFonts w:ascii="Arial" w:hAnsi="Arial" w:cs="Arial"/>
              </w:rPr>
            </w:pPr>
            <w:r>
              <w:rPr>
                <w:rStyle w:val="Normaltextrun"/>
                <w:rFonts w:cs="Arial" w:ascii="Arial" w:hAnsi="Arial"/>
                <w:iCs/>
              </w:rPr>
              <w:t>Nauczanie zdalne i hybrydowe </w:t>
            </w:r>
            <w:r>
              <w:rPr>
                <w:rStyle w:val="Eop"/>
                <w:rFonts w:cs="Arial" w:ascii="Arial" w:hAnsi="Arial"/>
                <w:iCs/>
              </w:rPr>
              <w:t> </w:t>
            </w:r>
          </w:p>
          <w:p>
            <w:pPr>
              <w:pStyle w:val="Normal1"/>
              <w:widowControl w:val="false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Style w:val="Normaltextrun"/>
                <w:rFonts w:cs="Arial" w:ascii="Arial" w:hAnsi="Arial"/>
                <w:iCs/>
                <w:sz w:val="22"/>
                <w:szCs w:val="22"/>
              </w:rPr>
              <w:t>Zajęcia prowadzone są w formie zdalnej lub hybrydowej z wykorzystaniem platformy </w:t>
            </w:r>
            <w:r>
              <w:rPr>
                <w:rStyle w:val="Spellingerror"/>
                <w:rFonts w:cs="Arial" w:ascii="Arial" w:hAnsi="Arial"/>
                <w:iCs/>
                <w:sz w:val="22"/>
                <w:szCs w:val="22"/>
              </w:rPr>
              <w:t>Moodle</w:t>
            </w:r>
            <w:r>
              <w:rPr>
                <w:rStyle w:val="Normaltextrun"/>
                <w:rFonts w:cs="Arial" w:ascii="Arial" w:hAnsi="Arial"/>
                <w:iCs/>
                <w:sz w:val="22"/>
                <w:szCs w:val="22"/>
              </w:rPr>
              <w:t> oraz Microsoft </w:t>
            </w:r>
            <w:r>
              <w:rPr>
                <w:rStyle w:val="Spellingerror"/>
                <w:rFonts w:cs="Arial" w:ascii="Arial" w:hAnsi="Arial"/>
                <w:iCs/>
                <w:sz w:val="22"/>
                <w:szCs w:val="22"/>
              </w:rPr>
              <w:t>Teams</w:t>
            </w:r>
            <w:r>
              <w:rPr>
                <w:rStyle w:val="Normaltextrun"/>
                <w:rFonts w:cs="Arial" w:ascii="Arial" w:hAnsi="Arial"/>
                <w:iCs/>
                <w:sz w:val="22"/>
                <w:szCs w:val="22"/>
              </w:rPr>
              <w:t>.</w:t>
            </w:r>
            <w:r>
              <w:rPr>
                <w:rStyle w:val="Normaltextrun"/>
                <w:rFonts w:cs="Arial" w:ascii="Candara" w:hAnsi="Candara"/>
                <w:i/>
                <w:iCs/>
              </w:rPr>
              <w:t> </w:t>
            </w:r>
            <w:r>
              <w:rPr>
                <w:rStyle w:val="Eop"/>
                <w:rFonts w:cs="Segoe UI" w:ascii="Candara" w:hAnsi="Candara"/>
                <w:i/>
                <w:iCs/>
              </w:rPr>
              <w:t> </w:t>
            </w:r>
          </w:p>
        </w:tc>
      </w:tr>
    </w:tbl>
    <w:p>
      <w:pPr>
        <w:pStyle w:val="Normal1"/>
        <w:pBdr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1"/>
        <w:pBdr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1"/>
        <w:pBdr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 w:themeColor="text1" w:themeShade="ff" w:themeTint="ff"/>
          <w:sz w:val="22"/>
          <w:szCs w:val="22"/>
        </w:rPr>
        <w:t>Formy sprawdzania efektów uczenia się</w:t>
      </w:r>
    </w:p>
    <w:p>
      <w:pPr>
        <w:pStyle w:val="Normal1"/>
        <w:pBdr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1"/>
        <w:pBdr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tbl>
      <w:tblPr>
        <w:tblStyle w:val="a8"/>
        <w:tblW w:w="962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00"/>
      </w:tblPr>
      <w:tblGrid>
        <w:gridCol w:w="962"/>
        <w:gridCol w:w="665"/>
        <w:gridCol w:w="666"/>
        <w:gridCol w:w="667"/>
        <w:gridCol w:w="666"/>
        <w:gridCol w:w="665"/>
        <w:gridCol w:w="666"/>
        <w:gridCol w:w="667"/>
        <w:gridCol w:w="666"/>
        <w:gridCol w:w="564"/>
        <w:gridCol w:w="768"/>
        <w:gridCol w:w="667"/>
        <w:gridCol w:w="666"/>
        <w:gridCol w:w="665"/>
      </w:tblGrid>
      <w:tr>
        <w:trPr>
          <w:trHeight w:val="1600" w:hRule="atLeast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ind w:left="113" w:right="113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ind w:left="113" w:right="113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E – learning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ind w:left="113" w:right="113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Gry dydaktyczne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ind w:left="113" w:right="113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ind w:left="113" w:right="113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Zajęcia terenowe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ind w:left="113" w:right="113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ind w:left="113" w:right="113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Projekt indywidualny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ind w:left="113" w:right="113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ind w:left="113" w:right="113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ind w:left="113" w:right="113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Referat</w:t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ind w:left="113" w:right="113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Praca pisemna (esej)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ind w:left="113" w:right="113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ind w:left="113" w:right="113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Egzamin pisemny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ind w:left="113" w:right="113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Inne</w:t>
            </w:r>
          </w:p>
        </w:tc>
      </w:tr>
      <w:tr>
        <w:trPr>
          <w:trHeight w:val="240" w:hRule="atLeast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pBdr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W01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</w:tr>
      <w:tr>
        <w:trPr>
          <w:trHeight w:val="240" w:hRule="atLeast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W02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</w:tr>
      <w:tr>
        <w:trPr>
          <w:trHeight w:val="240" w:hRule="atLeast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W03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</w:tr>
      <w:tr>
        <w:trPr>
          <w:trHeight w:val="240" w:hRule="atLeast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U01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</w:tr>
      <w:tr>
        <w:trPr>
          <w:trHeight w:val="240" w:hRule="atLeast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U02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</w:tr>
      <w:tr>
        <w:trPr>
          <w:trHeight w:val="240" w:hRule="atLeast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U03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</w:tr>
      <w:tr>
        <w:trPr>
          <w:trHeight w:val="240" w:hRule="atLeast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K01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</w:tr>
      <w:tr>
        <w:trPr>
          <w:trHeight w:val="240" w:hRule="atLeast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K02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</w:tr>
    </w:tbl>
    <w:p>
      <w:pPr>
        <w:pStyle w:val="Normal1"/>
        <w:pBdr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1"/>
        <w:pBdr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tbl>
      <w:tblPr>
        <w:tblStyle w:val="a9"/>
        <w:tblW w:w="9640" w:type="dxa"/>
        <w:jc w:val="left"/>
        <w:tblInd w:w="-11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940"/>
        <w:gridCol w:w="7699"/>
      </w:tblGrid>
      <w:tr>
        <w:trPr/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>
            <w:pPr>
              <w:pStyle w:val="Normal1"/>
              <w:widowControl w:val="false"/>
              <w:pBdr/>
              <w:spacing w:before="57" w:after="57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Zaliczenie kursu odbywa się na podstawie oceny poszczególnych efektów kształcenia (e- nauczanie, gry dydaktyczne, projekt indywidualny i grupowy, udział w dyskusji, prace pisemne, wypowiedź ustna, testy zaliczeniowe) a także aktywnego uczestnictwa w zajęciach.</w:t>
            </w:r>
          </w:p>
          <w:p>
            <w:pPr>
              <w:pStyle w:val="Normal1"/>
              <w:widowControl w:val="false"/>
              <w:pBdr/>
              <w:spacing w:before="57" w:after="57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  <w:p>
            <w:pPr>
              <w:pStyle w:val="Normal1"/>
              <w:widowControl w:val="false"/>
              <w:pBdr/>
              <w:spacing w:before="57" w:after="57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222222"/>
                <w:sz w:val="20"/>
                <w:szCs w:val="20"/>
                <w:highlight w:val="white"/>
              </w:rPr>
              <w:t>Ocena z egzaminu jest równoznaczna z oceną z egzaminu pisemnego.</w:t>
            </w:r>
          </w:p>
          <w:p>
            <w:pPr>
              <w:pStyle w:val="Normal1"/>
              <w:widowControl w:val="false"/>
              <w:pBdr/>
              <w:spacing w:before="57" w:after="57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</w:tr>
    </w:tbl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tbl>
      <w:tblPr>
        <w:tblStyle w:val="aa"/>
        <w:tblW w:w="9640" w:type="dxa"/>
        <w:jc w:val="left"/>
        <w:tblInd w:w="-11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940"/>
        <w:gridCol w:w="7699"/>
      </w:tblGrid>
      <w:tr>
        <w:trPr>
          <w:trHeight w:val="1080" w:hRule="atLeast"/>
        </w:trPr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spacing w:before="0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Uwagi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>
            <w:pPr>
              <w:pStyle w:val="Normal1"/>
              <w:widowControl w:val="false"/>
              <w:pBdr/>
              <w:spacing w:before="57" w:after="57"/>
              <w:jc w:val="both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 xml:space="preserve">Ocena z egzaminu: </w:t>
            </w:r>
          </w:p>
          <w:p>
            <w:pPr>
              <w:pStyle w:val="Normal1"/>
              <w:widowControl w:val="false"/>
              <w:pBdr/>
              <w:spacing w:before="57" w:after="57"/>
              <w:jc w:val="both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 xml:space="preserve">3.0 – 51-67,5% </w:t>
            </w:r>
          </w:p>
          <w:p>
            <w:pPr>
              <w:pStyle w:val="Normal1"/>
              <w:widowControl w:val="false"/>
              <w:pBdr/>
              <w:spacing w:before="57" w:after="57"/>
              <w:jc w:val="both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 xml:space="preserve">3.5 – 68 -75,5% </w:t>
            </w:r>
          </w:p>
          <w:p>
            <w:pPr>
              <w:pStyle w:val="Normal1"/>
              <w:widowControl w:val="false"/>
              <w:pBdr/>
              <w:spacing w:before="57" w:after="57"/>
              <w:jc w:val="both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 xml:space="preserve">4.0 – 76-83,5% </w:t>
            </w:r>
          </w:p>
          <w:p>
            <w:pPr>
              <w:pStyle w:val="Normal1"/>
              <w:widowControl w:val="false"/>
              <w:pBdr/>
              <w:spacing w:before="57" w:after="57"/>
              <w:jc w:val="both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 xml:space="preserve">4.5 – 84-91,5% </w:t>
            </w:r>
          </w:p>
          <w:p>
            <w:pPr>
              <w:pStyle w:val="Normal1"/>
              <w:widowControl w:val="false"/>
              <w:pBdr/>
              <w:spacing w:before="57" w:after="57"/>
              <w:jc w:val="both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5.0 – 92-100%</w:t>
            </w:r>
          </w:p>
        </w:tc>
      </w:tr>
    </w:tbl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>Treści merytoryczne (wykaz tematów)</w:t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tbl>
      <w:tblPr>
        <w:tblStyle w:val="ab"/>
        <w:tblW w:w="9622" w:type="dxa"/>
        <w:jc w:val="left"/>
        <w:tblInd w:w="-7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622"/>
      </w:tblGrid>
      <w:tr>
        <w:trPr>
          <w:trHeight w:val="1120" w:hRule="atLeast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1"/>
              <w:widowControl w:val="false"/>
              <w:pBdr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Problemy w komunikacji międzyludzkiej</w:t>
            </w:r>
          </w:p>
          <w:p>
            <w:pPr>
              <w:pStyle w:val="Normal1"/>
              <w:widowControl w:val="false"/>
              <w:pBdr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Czasowniki modalne – aspekt przeszły</w:t>
            </w:r>
          </w:p>
          <w:p>
            <w:pPr>
              <w:pStyle w:val="Normal1"/>
              <w:widowControl w:val="false"/>
              <w:pBdr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 xml:space="preserve">Czasowniki o podobnej formie i różnym znaczeniu – ćwiczenia słownikowe </w:t>
            </w:r>
          </w:p>
          <w:p>
            <w:pPr>
              <w:pStyle w:val="Normal1"/>
              <w:widowControl w:val="false"/>
              <w:pBdr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Zachowania ludzkie, język ciała – praca z tekstem</w:t>
            </w:r>
          </w:p>
          <w:p>
            <w:pPr>
              <w:pStyle w:val="Normal1"/>
              <w:widowControl w:val="false"/>
              <w:pBdr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Czasowniki zmysłów</w:t>
            </w:r>
          </w:p>
          <w:p>
            <w:pPr>
              <w:pStyle w:val="Normal1"/>
              <w:widowControl w:val="false"/>
              <w:pBdr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Ciało ludzkie - ćwiczenia słownikowe</w:t>
            </w:r>
          </w:p>
          <w:p>
            <w:pPr>
              <w:pStyle w:val="Tekstdymka1"/>
              <w:widowControl w:val="false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  <w:t xml:space="preserve">Przestępstwa, przestępcy, łamanie prawa – dyskusja, sposoby wyrażania opinii, ćwiczenia słownikowe </w:t>
            </w:r>
          </w:p>
          <w:p>
            <w:pPr>
              <w:pStyle w:val="Normal1"/>
              <w:widowControl w:val="false"/>
              <w:pBdr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Strona bierna</w:t>
            </w:r>
          </w:p>
          <w:p>
            <w:pPr>
              <w:pStyle w:val="Normal1"/>
              <w:widowControl w:val="false"/>
              <w:pBdr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Środki masowego przekazu – ćwiczenia słownikowe</w:t>
            </w:r>
          </w:p>
          <w:p>
            <w:pPr>
              <w:pStyle w:val="Normal1"/>
              <w:widowControl w:val="false"/>
              <w:pBdr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 xml:space="preserve">Media i ich wpływ na życie ludzkie, </w:t>
            </w:r>
            <w:r>
              <w:rPr>
                <w:rFonts w:eastAsia="Arial" w:cs="Arial" w:ascii="Arial" w:hAnsi="Arial"/>
                <w:i/>
                <w:color w:val="000000"/>
                <w:sz w:val="20"/>
                <w:szCs w:val="20"/>
              </w:rPr>
              <w:t>fake news</w:t>
            </w: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 xml:space="preserve"> – praca z tekstem, dyskusja</w:t>
            </w:r>
          </w:p>
          <w:p>
            <w:pPr>
              <w:pStyle w:val="Normal1"/>
              <w:widowControl w:val="false"/>
              <w:pBdr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 xml:space="preserve">Mowa zależna </w:t>
            </w:r>
          </w:p>
          <w:p>
            <w:pPr>
              <w:pStyle w:val="Normal1"/>
              <w:widowControl w:val="false"/>
              <w:pBdr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Świat reklamy i biznesu – praca z tekstem, ćwiczenia słownikowe</w:t>
            </w:r>
          </w:p>
          <w:p>
            <w:pPr>
              <w:pStyle w:val="Normal1"/>
              <w:widowControl w:val="false"/>
              <w:pBdr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Zdania podrzędnie złożone</w:t>
            </w:r>
          </w:p>
          <w:p>
            <w:pPr>
              <w:pStyle w:val="Normal1"/>
              <w:widowControl w:val="false"/>
              <w:pBdr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 xml:space="preserve">Wielkie miasta i ich problemy </w:t>
            </w:r>
          </w:p>
          <w:p>
            <w:pPr>
              <w:pStyle w:val="Normal1"/>
              <w:widowControl w:val="false"/>
              <w:pBdr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 xml:space="preserve">Rzeczowniki policzalne i niepoliczalne </w:t>
            </w:r>
          </w:p>
          <w:p>
            <w:pPr>
              <w:pStyle w:val="Normal1"/>
              <w:widowControl w:val="false"/>
              <w:pBdr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Świat nauki</w:t>
            </w:r>
          </w:p>
          <w:p>
            <w:pPr>
              <w:pStyle w:val="Normal1"/>
              <w:widowControl w:val="false"/>
              <w:pBdr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Kwantyfikatory (</w:t>
            </w:r>
            <w:r>
              <w:rPr>
                <w:rFonts w:eastAsia="Arial" w:cs="Arial" w:ascii="Arial" w:hAnsi="Arial"/>
                <w:i/>
                <w:color w:val="000000"/>
                <w:sz w:val="20"/>
                <w:szCs w:val="20"/>
              </w:rPr>
              <w:t>all, every, both</w:t>
            </w: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…)</w:t>
            </w:r>
          </w:p>
          <w:p>
            <w:pPr>
              <w:pStyle w:val="Normal1"/>
              <w:widowControl w:val="false"/>
              <w:pBdr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 xml:space="preserve">Słowotwórstwo - ćwiczenia słownikowe </w:t>
            </w:r>
          </w:p>
          <w:p>
            <w:pPr>
              <w:pStyle w:val="Normal1"/>
              <w:widowControl w:val="false"/>
              <w:pBdr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Sztuka przemawiania</w:t>
            </w:r>
          </w:p>
          <w:p>
            <w:pPr>
              <w:pStyle w:val="Normal1"/>
              <w:widowControl w:val="false"/>
              <w:pBdr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 xml:space="preserve">Rodzajniki </w:t>
            </w:r>
          </w:p>
          <w:p>
            <w:pPr>
              <w:pStyle w:val="Normal1"/>
              <w:widowControl w:val="false"/>
              <w:pBdr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 xml:space="preserve">Powtórka materiału </w:t>
            </w:r>
          </w:p>
          <w:p>
            <w:pPr>
              <w:pStyle w:val="Normal1"/>
              <w:widowControl w:val="false"/>
              <w:pBdr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 xml:space="preserve">Egzamin próbny </w:t>
            </w:r>
          </w:p>
          <w:p>
            <w:pPr>
              <w:pStyle w:val="Normal1"/>
              <w:widowControl w:val="false"/>
              <w:pBdr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Elementy języka specjalistycznego</w:t>
            </w:r>
          </w:p>
        </w:tc>
      </w:tr>
    </w:tbl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  <w:t>Słowniczek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22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000"/>
      </w:tblPr>
      <w:tblGrid>
        <w:gridCol w:w="9622"/>
      </w:tblGrid>
      <w:tr>
        <w:trPr>
          <w:trHeight w:val="1136" w:hRule="atLeast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cs="Arial" w:ascii="Arial" w:hAnsi="Arial"/>
                <w:sz w:val="20"/>
                <w:szCs w:val="20"/>
                <w:lang w:val="en-GB"/>
              </w:rPr>
              <w:t>modal verbs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cs="Arial" w:ascii="Arial" w:hAnsi="Arial"/>
                <w:sz w:val="20"/>
                <w:szCs w:val="20"/>
                <w:lang w:val="en-GB"/>
              </w:rPr>
              <w:t>verbs of senses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cs="Arial" w:ascii="Arial" w:hAnsi="Arial"/>
                <w:sz w:val="20"/>
                <w:szCs w:val="20"/>
                <w:lang w:val="en-GB"/>
              </w:rPr>
              <w:t>passive voice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cs="Arial" w:ascii="Arial" w:hAnsi="Arial"/>
                <w:sz w:val="20"/>
                <w:szCs w:val="20"/>
                <w:lang w:val="en-GB"/>
              </w:rPr>
              <w:t>fake news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cs="Arial" w:ascii="Arial" w:hAnsi="Arial"/>
                <w:sz w:val="20"/>
                <w:szCs w:val="20"/>
                <w:lang w:val="en-GB"/>
              </w:rPr>
              <w:t>reported speech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cs="Arial" w:ascii="Arial" w:hAnsi="Arial"/>
                <w:sz w:val="20"/>
                <w:szCs w:val="20"/>
                <w:lang w:val="en-GB"/>
              </w:rPr>
              <w:t>reporting verbs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cs="Arial" w:ascii="Arial" w:hAnsi="Arial"/>
                <w:sz w:val="20"/>
                <w:szCs w:val="20"/>
                <w:lang w:val="en-GB"/>
              </w:rPr>
              <w:t xml:space="preserve">clauses of contrast and purpose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cs="Arial" w:ascii="Arial" w:hAnsi="Arial"/>
                <w:sz w:val="20"/>
                <w:szCs w:val="20"/>
                <w:lang w:val="en-GB"/>
              </w:rPr>
              <w:t>uncountable and plural nouns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cs="Arial" w:ascii="Arial" w:hAnsi="Arial"/>
                <w:sz w:val="20"/>
                <w:szCs w:val="20"/>
                <w:lang w:val="en-GB"/>
              </w:rPr>
              <w:t>quantifiers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cs="Arial" w:ascii="Arial" w:hAnsi="Arial"/>
                <w:sz w:val="20"/>
                <w:szCs w:val="20"/>
                <w:lang w:val="en-GB"/>
              </w:rPr>
              <w:t>articles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lang w:val="en-GB"/>
              </w:rPr>
            </w:pPr>
            <w:r>
              <w:rPr>
                <w:rFonts w:cs="Arial" w:ascii="Arial" w:hAnsi="Arial"/>
                <w:sz w:val="20"/>
                <w:lang w:val="en-GB"/>
              </w:rPr>
            </w:r>
          </w:p>
        </w:tc>
      </w:tr>
    </w:tbl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>Wykaz literatury podstawowej</w:t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tbl>
      <w:tblPr>
        <w:tblStyle w:val="ac"/>
        <w:tblW w:w="9622" w:type="dxa"/>
        <w:jc w:val="left"/>
        <w:tblInd w:w="-7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622"/>
      </w:tblGrid>
      <w:tr>
        <w:trPr>
          <w:trHeight w:val="1080" w:hRule="atLeast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1"/>
              <w:widowControl w:val="false"/>
              <w:rPr>
                <w:rFonts w:ascii="Arial" w:hAnsi="Arial" w:eastAsia="Arial" w:cs="Arial"/>
                <w:sz w:val="22"/>
                <w:szCs w:val="22"/>
                <w:lang w:val="en-GB"/>
              </w:rPr>
            </w:pPr>
            <w:r>
              <w:rPr>
                <w:rFonts w:cs="Arial" w:ascii="Arial" w:hAnsi="Arial"/>
                <w:sz w:val="20"/>
                <w:lang w:val="en-US"/>
              </w:rPr>
              <w:t>1. Latham-Koenig C., Oxenden C., Chomacki, K., English File Upper-Intermediate Student’s Book, 4</w:t>
            </w:r>
            <w:r>
              <w:rPr>
                <w:rFonts w:cs="Arial" w:ascii="Arial" w:hAnsi="Arial"/>
                <w:sz w:val="20"/>
                <w:vertAlign w:val="superscript"/>
                <w:lang w:val="en-US"/>
              </w:rPr>
              <w:t>th</w:t>
            </w:r>
            <w:r>
              <w:rPr>
                <w:rFonts w:cs="Arial" w:ascii="Arial" w:hAnsi="Arial"/>
                <w:sz w:val="20"/>
                <w:lang w:val="en-US"/>
              </w:rPr>
              <w:t xml:space="preserve"> edition. OUP, 2020.</w:t>
            </w:r>
          </w:p>
        </w:tc>
      </w:tr>
    </w:tbl>
    <w:p>
      <w:pPr>
        <w:pStyle w:val="Normal1"/>
        <w:rPr>
          <w:rFonts w:ascii="Arial" w:hAnsi="Arial" w:eastAsia="Arial" w:cs="Arial"/>
          <w:sz w:val="22"/>
          <w:szCs w:val="22"/>
          <w:lang w:val="en-GB"/>
        </w:rPr>
      </w:pPr>
      <w:r>
        <w:rPr>
          <w:rFonts w:eastAsia="Arial" w:cs="Arial" w:ascii="Arial" w:hAnsi="Arial"/>
          <w:sz w:val="22"/>
          <w:szCs w:val="22"/>
          <w:lang w:val="en-GB"/>
        </w:rPr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>Wykaz literatury uzupełniającej</w:t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tbl>
      <w:tblPr>
        <w:tblStyle w:val="ad"/>
        <w:tblW w:w="9622" w:type="dxa"/>
        <w:jc w:val="left"/>
        <w:tblInd w:w="-7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622"/>
      </w:tblGrid>
      <w:tr>
        <w:trPr>
          <w:trHeight w:val="1100" w:hRule="atLeast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  <w:t>1. Latham-Koenig C., Oxenden C., Chomacki, K., English File Upper-Intermediate Workbook, 4</w:t>
            </w:r>
            <w:r>
              <w:rPr>
                <w:rFonts w:cs="Arial" w:ascii="Arial" w:hAnsi="Arial"/>
                <w:sz w:val="20"/>
                <w:vertAlign w:val="superscript"/>
                <w:lang w:val="en-US"/>
              </w:rPr>
              <w:t>th</w:t>
            </w:r>
            <w:r>
              <w:rPr>
                <w:rFonts w:cs="Arial" w:ascii="Arial" w:hAnsi="Arial"/>
                <w:sz w:val="20"/>
                <w:lang w:val="en-US"/>
              </w:rPr>
              <w:t xml:space="preserve"> edition. OUP, 2020.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  <w:t xml:space="preserve">2. Thomson A.J., Martinet A.V., A Practical English Grammar: Exercises 1 &amp; 2, OUP, Oxford 1986.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  <w:t xml:space="preserve">3. Murphy R., English Grammar in Use, CUP, Cambridge 1998.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  <w:t xml:space="preserve">4. Watcyn-Jones P., Test Your Vocabulary Books 1-5, Pearson Education Ltd, various editions.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  <w:t>5. Acklam R., Crace A., Total English Upper-Intermediate, Longman, 2006.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  <w:t xml:space="preserve">6. Kay S., Jones V., New Inside Out Upper-Intermediate, Macmillan, 2009.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  <w:t xml:space="preserve">7. Cotton D., Falvey D., Kent S., Language Leader Upper-Intermediate, Pearson Education Ltd, 2008.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  <w:t xml:space="preserve">8. Eales F., Oakes S., Speakout Upper-Intermediate, Pearson, 2011.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  <w:t xml:space="preserve">9. Clanfield L., Benne R. R., Global Upper-Intermediate, Macmillan Education, Oxford 2011.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  <w:t>10. Jacob, M., Strutt, P., English for International Tourism Upper Intermediate Course Book, Pearson, 2007.Mann M., Taylore-Knowles S., Destination B2, Macmillan Education, 2008.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  <w:t xml:space="preserve">11. Hornby A. S., Oxford Advanced Learner’s Dictionary, OUP, various editions i inne słowniki. </w:t>
            </w:r>
          </w:p>
          <w:p>
            <w:pPr>
              <w:pStyle w:val="Normal1"/>
              <w:widowControl w:val="false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lang w:val="en-US"/>
              </w:rPr>
              <w:t>12.źródła internetowe, materiały autorskie</w:t>
            </w:r>
          </w:p>
          <w:p>
            <w:pPr>
              <w:pStyle w:val="Normal1"/>
              <w:widowControl w:val="false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</w:tr>
    </w:tbl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pBdr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  <w:t>Bilans godzinowy zgodny z CNPS (Całkowity Nakład Pracy Studenta)</w:t>
      </w:r>
    </w:p>
    <w:p>
      <w:pPr>
        <w:pStyle w:val="Normal1"/>
        <w:pBdr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tbl>
      <w:tblPr>
        <w:tblStyle w:val="ae"/>
        <w:tblW w:w="958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00"/>
      </w:tblPr>
      <w:tblGrid>
        <w:gridCol w:w="2766"/>
        <w:gridCol w:w="5749"/>
        <w:gridCol w:w="1067"/>
      </w:tblGrid>
      <w:tr>
        <w:trPr>
          <w:trHeight w:val="320" w:hRule="atLeast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spacing w:lineRule="auto" w:line="276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liczba godzin w kontakcie z prowadzącymi</w:t>
            </w:r>
          </w:p>
        </w:tc>
        <w:tc>
          <w:tcPr>
            <w:tcW w:w="574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1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Wykład</w:t>
            </w:r>
          </w:p>
        </w:tc>
        <w:tc>
          <w:tcPr>
            <w:tcW w:w="10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1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</w:tr>
      <w:tr>
        <w:trPr>
          <w:trHeight w:val="320" w:hRule="atLeast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pBdr/>
              <w:spacing w:lineRule="auto" w:line="276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574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1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0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1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30</w:t>
            </w:r>
          </w:p>
        </w:tc>
      </w:tr>
      <w:tr>
        <w:trPr>
          <w:trHeight w:val="660" w:hRule="atLeast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pBdr/>
              <w:spacing w:lineRule="auto" w:line="276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574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1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0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1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10</w:t>
            </w:r>
          </w:p>
        </w:tc>
      </w:tr>
      <w:tr>
        <w:trPr>
          <w:trHeight w:val="340" w:hRule="atLeast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spacing w:lineRule="auto" w:line="276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4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1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0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1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10</w:t>
            </w:r>
          </w:p>
        </w:tc>
      </w:tr>
      <w:tr>
        <w:trPr>
          <w:trHeight w:val="700" w:hRule="atLeast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pBdr/>
              <w:spacing w:lineRule="auto" w:line="276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574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1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0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1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9</w:t>
            </w:r>
          </w:p>
        </w:tc>
      </w:tr>
      <w:tr>
        <w:trPr>
          <w:trHeight w:val="720" w:hRule="atLeast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pBdr/>
              <w:spacing w:lineRule="auto" w:line="276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574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1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0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1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11</w:t>
            </w:r>
          </w:p>
        </w:tc>
      </w:tr>
      <w:tr>
        <w:trPr>
          <w:trHeight w:val="360" w:hRule="atLeast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pBdr/>
              <w:spacing w:lineRule="auto" w:line="276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574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1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Przygotowanie do egzaminu/zaliczenia</w:t>
            </w:r>
          </w:p>
        </w:tc>
        <w:tc>
          <w:tcPr>
            <w:tcW w:w="10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1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20</w:t>
            </w:r>
          </w:p>
        </w:tc>
      </w:tr>
      <w:tr>
        <w:trPr>
          <w:trHeight w:val="360" w:hRule="atLeast"/>
        </w:trPr>
        <w:tc>
          <w:tcPr>
            <w:tcW w:w="8515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Ogółem bilans czasu pracy</w:t>
            </w:r>
          </w:p>
        </w:tc>
        <w:tc>
          <w:tcPr>
            <w:tcW w:w="10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1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100</w:t>
            </w:r>
          </w:p>
        </w:tc>
      </w:tr>
      <w:tr>
        <w:trPr>
          <w:trHeight w:val="380" w:hRule="atLeast"/>
        </w:trPr>
        <w:tc>
          <w:tcPr>
            <w:tcW w:w="8515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Liczba punktów ECTS w zależności od przyjętego przelicznika</w:t>
            </w:r>
          </w:p>
        </w:tc>
        <w:tc>
          <w:tcPr>
            <w:tcW w:w="10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1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4</w:t>
            </w:r>
          </w:p>
        </w:tc>
      </w:tr>
    </w:tbl>
    <w:p>
      <w:pPr>
        <w:pStyle w:val="Normal1"/>
        <w:pBdr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1"/>
        <w:pBdr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pBdr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1"/>
        <w:pBdr/>
        <w:rPr>
          <w:rFonts w:ascii="Arial" w:hAnsi="Arial" w:eastAsia="Arial" w:cs="Arial"/>
          <w:color w:val="000000"/>
          <w:sz w:val="22"/>
          <w:szCs w:val="22"/>
        </w:rPr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454" w:top="1276" w:footer="709" w:bottom="113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Verdana">
    <w:charset w:val="ee"/>
    <w:family w:val="swiss"/>
    <w:pitch w:val="variable"/>
  </w:font>
  <w:font w:name="Liberation Sans">
    <w:altName w:val="Arial"/>
    <w:charset w:val="ee"/>
    <w:family w:val="swiss"/>
    <w:pitch w:val="variable"/>
  </w:font>
  <w:font w:name="Georgia">
    <w:charset w:val="ee"/>
    <w:family w:val="roman"/>
    <w:pitch w:val="variable"/>
  </w:font>
  <w:font w:name="Tahoma"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roman"/>
    <w:pitch w:val="variable"/>
  </w:font>
  <w:font w:name="Candara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pBdr/>
      <w:tabs>
        <w:tab w:val="clear" w:pos="720"/>
        <w:tab w:val="center" w:pos="4536" w:leader="none"/>
        <w:tab w:val="right" w:pos="9072" w:leader="none"/>
      </w:tabs>
      <w:rPr>
        <w:color w:val="000000"/>
      </w:rPr>
    </w:pPr>
    <w:r>
      <w:rPr>
        <w:color w:val="000000"/>
      </w:rPr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pBdr/>
      <w:tabs>
        <w:tab w:val="clear" w:pos="720"/>
        <w:tab w:val="center" w:pos="4536" w:leader="none"/>
        <w:tab w:val="right" w:pos="9072" w:leader="none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 xml:space="preserve"> PAGE </w:instrText>
    </w:r>
    <w:r>
      <w:rPr>
        <w:color w:val="000000"/>
      </w:rPr>
      <w:fldChar w:fldCharType="separate"/>
    </w:r>
    <w:r>
      <w:rPr>
        <w:color w:val="000000"/>
      </w:rPr>
      <w:t>5</w:t>
    </w:r>
    <w:r>
      <w:rPr>
        <w:color w:val="000000"/>
      </w:rPr>
      <w:fldChar w:fldCharType="end"/>
    </w:r>
  </w:p>
  <w:p>
    <w:pPr>
      <w:pStyle w:val="Normal1"/>
      <w:pBdr/>
      <w:tabs>
        <w:tab w:val="clear" w:pos="720"/>
        <w:tab w:val="center" w:pos="4536" w:leader="none"/>
        <w:tab w:val="right" w:pos="9072" w:leader="none"/>
      </w:tabs>
      <w:rPr>
        <w:color w:val="000000"/>
      </w:rPr>
    </w:pPr>
    <w:r>
      <w:rPr>
        <w:color w:val="000000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pBdr/>
      <w:tabs>
        <w:tab w:val="clear" w:pos="720"/>
        <w:tab w:val="center" w:pos="4536" w:leader="none"/>
        <w:tab w:val="right" w:pos="9072" w:leader="none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 xml:space="preserve"> PAGE </w:instrText>
    </w:r>
    <w:r>
      <w:rPr>
        <w:color w:val="000000"/>
      </w:rPr>
      <w:fldChar w:fldCharType="separate"/>
    </w:r>
    <w:r>
      <w:rPr>
        <w:color w:val="000000"/>
      </w:rPr>
      <w:t>5</w:t>
    </w:r>
    <w:r>
      <w:rPr>
        <w:color w:val="000000"/>
      </w:rPr>
      <w:fldChar w:fldCharType="end"/>
    </w:r>
  </w:p>
  <w:p>
    <w:pPr>
      <w:pStyle w:val="Normal1"/>
      <w:pBdr/>
      <w:tabs>
        <w:tab w:val="clear" w:pos="720"/>
        <w:tab w:val="center" w:pos="4536" w:leader="none"/>
        <w:tab w:val="right" w:pos="9072" w:leader="none"/>
      </w:tabs>
      <w:rPr>
        <w:color w:val="000000"/>
      </w:rPr>
    </w:pPr>
    <w:r>
      <w:rPr>
        <w:color w:val="000000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true"/>
      <w:pBdr/>
      <w:spacing w:before="240" w:after="120"/>
      <w:rPr>
        <w:rFonts w:ascii="Arial" w:hAnsi="Arial" w:eastAsia="Arial" w:cs="Arial"/>
        <w:color w:val="000000"/>
        <w:sz w:val="28"/>
        <w:szCs w:val="28"/>
      </w:rPr>
    </w:pPr>
    <w:r>
      <w:rPr>
        <w:rFonts w:eastAsia="Arial" w:cs="Arial" w:ascii="Arial" w:hAnsi="Arial"/>
        <w:color w:val="000000"/>
        <w:sz w:val="28"/>
        <w:szCs w:val="28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true"/>
      <w:pBdr/>
      <w:jc w:val="right"/>
      <w:rPr>
        <w:rFonts w:ascii="Arial" w:hAnsi="Arial" w:eastAsia="Arial" w:cs="Arial"/>
        <w:b/>
        <w:b/>
        <w:i/>
        <w:i/>
        <w:color w:val="800000"/>
        <w:sz w:val="18"/>
        <w:szCs w:val="18"/>
      </w:rPr>
    </w:pPr>
    <w:r>
      <w:rPr>
        <w:rFonts w:eastAsia="Arial" w:cs="Arial" w:ascii="Arial" w:hAnsi="Arial"/>
        <w:b/>
        <w:i/>
        <w:color w:val="800000"/>
        <w:sz w:val="18"/>
        <w:szCs w:val="18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true"/>
      <w:pBdr/>
      <w:jc w:val="right"/>
      <w:rPr>
        <w:rFonts w:ascii="Arial" w:hAnsi="Arial" w:eastAsia="Arial" w:cs="Arial"/>
        <w:b/>
        <w:b/>
        <w:i/>
        <w:i/>
        <w:color w:val="800000"/>
        <w:sz w:val="18"/>
        <w:szCs w:val="18"/>
      </w:rPr>
    </w:pPr>
    <w:r>
      <w:rPr>
        <w:rFonts w:eastAsia="Arial" w:cs="Arial" w:ascii="Arial" w:hAnsi="Arial"/>
        <w:b/>
        <w:i/>
        <w:color w:val="800000"/>
        <w:sz w:val="18"/>
        <w:szCs w:val="18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20"/>
  <w:autoHyphenation w:val="true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4"/>
        <w:szCs w:val="24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e53a7"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paragraph" w:styleId="Heading1">
    <w:name w:val="Heading 1"/>
    <w:basedOn w:val="Normal1"/>
    <w:next w:val="Normal1"/>
    <w:qFormat/>
    <w:rsid w:val="00b3415a"/>
    <w:pPr>
      <w:keepNext w:val="true"/>
      <w:jc w:val="center"/>
      <w:outlineLvl w:val="0"/>
    </w:pPr>
    <w:rPr>
      <w:rFonts w:ascii="Verdana" w:hAnsi="Verdana" w:eastAsia="Verdana" w:cs="Verdana"/>
      <w:sz w:val="28"/>
      <w:szCs w:val="28"/>
    </w:rPr>
  </w:style>
  <w:style w:type="paragraph" w:styleId="Heading2">
    <w:name w:val="Heading 2"/>
    <w:basedOn w:val="Normal1"/>
    <w:next w:val="Normal1"/>
    <w:qFormat/>
    <w:rsid w:val="00b3415a"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1"/>
    <w:next w:val="Normal1"/>
    <w:qFormat/>
    <w:rsid w:val="00b3415a"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1"/>
    <w:next w:val="Normal1"/>
    <w:qFormat/>
    <w:rsid w:val="00b3415a"/>
    <w:pPr>
      <w:keepNext w:val="true"/>
      <w:keepLines/>
      <w:spacing w:before="240" w:after="40"/>
      <w:outlineLvl w:val="3"/>
    </w:pPr>
    <w:rPr>
      <w:b/>
    </w:rPr>
  </w:style>
  <w:style w:type="paragraph" w:styleId="Heading5">
    <w:name w:val="Heading 5"/>
    <w:basedOn w:val="Normal1"/>
    <w:next w:val="Normal1"/>
    <w:qFormat/>
    <w:rsid w:val="00b3415a"/>
    <w:pPr>
      <w:keepNext w:val="true"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1"/>
    <w:next w:val="Normal1"/>
    <w:qFormat/>
    <w:rsid w:val="00b3415a"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ormaltextrun" w:customStyle="1">
    <w:name w:val="normaltextrun"/>
    <w:basedOn w:val="DefaultParagraphFont"/>
    <w:qFormat/>
    <w:rsid w:val="00696602"/>
    <w:rPr/>
  </w:style>
  <w:style w:type="character" w:styleId="Eop" w:customStyle="1">
    <w:name w:val="eop"/>
    <w:basedOn w:val="DefaultParagraphFont"/>
    <w:qFormat/>
    <w:rsid w:val="00696602"/>
    <w:rPr/>
  </w:style>
  <w:style w:type="character" w:styleId="Spellingerror" w:customStyle="1">
    <w:name w:val="spellingerror"/>
    <w:basedOn w:val="DefaultParagraphFont"/>
    <w:qFormat/>
    <w:rsid w:val="00696602"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Normal1" w:customStyle="1">
    <w:name w:val="LO-normal"/>
    <w:qFormat/>
    <w:rsid w:val="00b3415a"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paragraph" w:styleId="Title">
    <w:name w:val="Title"/>
    <w:basedOn w:val="Normal1"/>
    <w:next w:val="Normal1"/>
    <w:qFormat/>
    <w:rsid w:val="00b3415a"/>
    <w:pPr>
      <w:keepNext w:val="true"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1"/>
    <w:next w:val="Normal1"/>
    <w:qFormat/>
    <w:rsid w:val="00b3415a"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Tekstdymka1" w:customStyle="1">
    <w:name w:val="Tekst dymka1"/>
    <w:basedOn w:val="Normal"/>
    <w:qFormat/>
    <w:rsid w:val="006e6b59"/>
    <w:pPr>
      <w:suppressAutoHyphens w:val="true"/>
    </w:pPr>
    <w:rPr>
      <w:rFonts w:ascii="Tahoma" w:hAnsi="Tahoma" w:cs="Tahoma"/>
      <w:sz w:val="16"/>
      <w:szCs w:val="16"/>
    </w:rPr>
  </w:style>
  <w:style w:type="paragraph" w:styleId="Paragraph" w:customStyle="1">
    <w:name w:val="paragraph"/>
    <w:basedOn w:val="Normal"/>
    <w:qFormat/>
    <w:rsid w:val="00696602"/>
    <w:pPr>
      <w:widowControl/>
    </w:pPr>
    <w:rPr>
      <w:rFonts w:ascii="Calibri" w:hAnsi="Calibri" w:cs="Calibri"/>
      <w:sz w:val="22"/>
      <w:szCs w:val="22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HeaderandFooter"/>
    <w:pPr/>
    <w:rPr/>
  </w:style>
  <w:style w:type="paragraph" w:styleId="Footer">
    <w:name w:val="Footer"/>
    <w:basedOn w:val="HeaderandFooter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Normal Table0"/>
    <w:rsid w:val="00b3415a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<Relationship Id="rId13" Type="http://schemas.openxmlformats.org/officeDocument/2006/relationships/customXml" Target="../customXml/item2.xml"/><Relationship Id="rId14" Type="http://schemas.openxmlformats.org/officeDocument/2006/relationships/customXml" Target="../customXml/item3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9C5A50395229A43A324A9C35EFD3B10" ma:contentTypeVersion="4" ma:contentTypeDescription="Utwórz nowy dokument." ma:contentTypeScope="" ma:versionID="cfc7df20a33f5743154e16b7fdd089c4">
  <xsd:schema xmlns:xsd="http://www.w3.org/2001/XMLSchema" xmlns:xs="http://www.w3.org/2001/XMLSchema" xmlns:p="http://schemas.microsoft.com/office/2006/metadata/properties" xmlns:ns2="8c29c5d2-85d2-43b4-af98-e7119c4ac7cc" xmlns:ns3="5468af13-47ef-4a0f-9757-82f5d18e8547" targetNamespace="http://schemas.microsoft.com/office/2006/metadata/properties" ma:root="true" ma:fieldsID="d7ee7c7440b80bee9d5766edc85c6210" ns2:_="" ns3:_="">
    <xsd:import namespace="8c29c5d2-85d2-43b4-af98-e7119c4ac7cc"/>
    <xsd:import namespace="5468af13-47ef-4a0f-9757-82f5d18e85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29c5d2-85d2-43b4-af98-e7119c4ac7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68af13-47ef-4a0f-9757-82f5d18e854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5776D46-E0B7-405D-83CF-63A302C6DA4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98DD633-74E3-4367-B44E-5DB394AE4177}"/>
</file>

<file path=customXml/itemProps3.xml><?xml version="1.0" encoding="utf-8"?>
<ds:datastoreItem xmlns:ds="http://schemas.openxmlformats.org/officeDocument/2006/customXml" ds:itemID="{39DE567F-53CD-4795-93B7-64B2AEFEDFF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LibreOffice/7.4.5.1$Windows_X86_64 LibreOffice_project/9c0871452b3918c1019dde9bfac75448afc4b57f</Application>
  <AppVersion>15.0000</AppVersion>
  <Pages>5</Pages>
  <Words>990</Words>
  <Characters>6264</Characters>
  <CharactersWithSpaces>7082</CharactersWithSpaces>
  <Paragraphs>219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2020-10-11T19:01:00Z</dcterms:created>
  <dc:creator/>
  <dc:description/>
  <dc:language>en-GB</dc:language>
  <cp:lastModifiedBy/>
  <dcterms:modified xsi:type="dcterms:W3CDTF">2023-09-14T16:21:57Z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0x01010039C5A50395229A43A324A9C35EFD3B10</vt:lpwstr>
  </property>
</Properties>
</file>