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_rels/item3.xml.rels" ContentType="application/vnd.openxmlformats-package.relationships+xml"/>
  <Override PartName="/customXml/itemProps2.xml" ContentType="application/vnd.openxmlformats-officedocument.customXmlProperties+xml"/>
  <Override PartName="/customXml/item3.xml" ContentType="application/xml"/>
  <Override PartName="/customXml/itemProps3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right"/>
        <w:rPr>
          <w:rFonts w:ascii="Arial" w:hAnsi="Arial" w:cs="Arial"/>
          <w:i/>
          <w:i/>
          <w:iCs/>
          <w:sz w:val="22"/>
          <w:szCs w:val="22"/>
        </w:rPr>
      </w:pPr>
      <w:r>
        <w:rPr>
          <w:rFonts w:cs="Arial" w:ascii="Arial" w:hAnsi="Arial"/>
          <w:i/>
          <w:iCs/>
          <w:sz w:val="22"/>
          <w:szCs w:val="22"/>
        </w:rPr>
        <w:t>studia I stopnia, stacjonarne, 20</w:t>
      </w:r>
      <w:r>
        <w:rPr>
          <w:rFonts w:cs="Arial" w:ascii="Arial" w:hAnsi="Arial"/>
          <w:i/>
          <w:iCs/>
          <w:sz w:val="22"/>
          <w:szCs w:val="22"/>
        </w:rPr>
        <w:t>23</w:t>
      </w:r>
      <w:r>
        <w:rPr>
          <w:rFonts w:cs="Arial" w:ascii="Arial" w:hAnsi="Arial"/>
          <w:i/>
          <w:iCs/>
          <w:sz w:val="22"/>
          <w:szCs w:val="22"/>
        </w:rPr>
        <w:t>/2</w:t>
      </w:r>
      <w:r>
        <w:rPr>
          <w:rFonts w:cs="Arial" w:ascii="Arial" w:hAnsi="Arial"/>
          <w:i/>
          <w:iCs/>
          <w:sz w:val="22"/>
          <w:szCs w:val="22"/>
        </w:rPr>
        <w:t>4</w:t>
      </w:r>
      <w:r>
        <w:rPr>
          <w:rFonts w:cs="Arial" w:ascii="Arial" w:hAnsi="Arial"/>
          <w:i/>
          <w:iCs/>
          <w:sz w:val="22"/>
          <w:szCs w:val="22"/>
        </w:rPr>
        <w:t>, semestr 2.</w:t>
      </w:r>
    </w:p>
    <w:p>
      <w:pPr>
        <w:pStyle w:val="Normal1"/>
        <w:jc w:val="right"/>
        <w:rPr>
          <w:rFonts w:ascii="Arial" w:hAnsi="Arial" w:eastAsia="Arial" w:cs="Arial"/>
          <w:b/>
          <w:b/>
        </w:rPr>
      </w:pPr>
      <w:r>
        <w:rPr>
          <w:rFonts w:eastAsia="Arial" w:cs="Arial" w:ascii="Arial" w:hAnsi="Arial"/>
          <w:b/>
        </w:rPr>
      </w:r>
    </w:p>
    <w:p>
      <w:pPr>
        <w:pStyle w:val="Heading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b/>
          <w:sz w:val="24"/>
          <w:szCs w:val="24"/>
        </w:rPr>
        <w:t>KARTA KURSU</w:t>
      </w:r>
    </w:p>
    <w:p>
      <w:pPr>
        <w:pStyle w:val="Normal1"/>
        <w:jc w:val="center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jc w:val="center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jc w:val="center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tbl>
      <w:tblPr>
        <w:tblStyle w:val="a"/>
        <w:tblW w:w="9640" w:type="dxa"/>
        <w:jc w:val="left"/>
        <w:tblInd w:w="-11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984"/>
        <w:gridCol w:w="7655"/>
      </w:tblGrid>
      <w:tr>
        <w:trPr>
          <w:trHeight w:val="380" w:hRule="atLeast"/>
        </w:trPr>
        <w:tc>
          <w:tcPr>
            <w:tcW w:w="19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Normal1"/>
              <w:widowControl w:val="false"/>
              <w:pBdr/>
              <w:spacing w:before="60" w:after="60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smallCaps/>
                <w:color w:val="000000"/>
                <w:sz w:val="20"/>
                <w:szCs w:val="20"/>
              </w:rPr>
              <w:t>JĘZYK ANGIELSKI</w:t>
            </w: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 xml:space="preserve"> B2-2s</w:t>
            </w:r>
          </w:p>
        </w:tc>
      </w:tr>
      <w:tr>
        <w:trPr>
          <w:trHeight w:val="360" w:hRule="atLeast"/>
        </w:trPr>
        <w:tc>
          <w:tcPr>
            <w:tcW w:w="19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Normal1"/>
              <w:widowControl w:val="false"/>
              <w:pBdr/>
              <w:spacing w:before="60" w:after="60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English B2-2s</w:t>
            </w:r>
          </w:p>
        </w:tc>
      </w:tr>
    </w:tbl>
    <w:p>
      <w:pPr>
        <w:pStyle w:val="Normal1"/>
        <w:jc w:val="center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tbl>
      <w:tblPr>
        <w:tblStyle w:val="a0"/>
        <w:tblW w:w="9640" w:type="dxa"/>
        <w:jc w:val="left"/>
        <w:tblInd w:w="-8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3188"/>
        <w:gridCol w:w="3190"/>
        <w:gridCol w:w="3262"/>
      </w:tblGrid>
      <w:tr>
        <w:trPr/>
        <w:tc>
          <w:tcPr>
            <w:tcW w:w="3188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auto" w:val="clear"/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mgr Urszula Adamek</w:t>
            </w:r>
          </w:p>
        </w:tc>
        <w:tc>
          <w:tcPr>
            <w:tcW w:w="326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Zespół dydaktyczny</w:t>
            </w:r>
          </w:p>
        </w:tc>
      </w:tr>
      <w:tr>
        <w:trPr>
          <w:trHeight w:val="340" w:hRule="atLeast"/>
        </w:trPr>
        <w:tc>
          <w:tcPr>
            <w:tcW w:w="3188" w:type="dxa"/>
            <w:vMerge w:val="continue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pBdr/>
              <w:spacing w:lineRule="auto" w:line="276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3190" w:type="dxa"/>
            <w:vMerge w:val="continue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auto" w:val="clear"/>
            <w:vAlign w:val="center"/>
          </w:tcPr>
          <w:p>
            <w:pPr>
              <w:pStyle w:val="Normal1"/>
              <w:widowControl w:val="false"/>
              <w:pBdr/>
              <w:spacing w:lineRule="auto" w:line="276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3262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auto" w:val="clear"/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Zespół języka angielskiego</w:t>
            </w:r>
          </w:p>
        </w:tc>
      </w:tr>
      <w:tr>
        <w:trPr>
          <w:trHeight w:val="40" w:hRule="atLeast"/>
        </w:trPr>
        <w:tc>
          <w:tcPr>
            <w:tcW w:w="3188" w:type="dxa"/>
            <w:tcBorders>
              <w:top w:val="single" w:sz="2" w:space="0" w:color="95B3D7"/>
              <w:bottom w:val="single" w:sz="2" w:space="0" w:color="95B3D7"/>
            </w:tcBorders>
            <w:shd w:color="auto" w:fill="auto" w:val="clear"/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3190" w:type="dxa"/>
            <w:tcBorders>
              <w:top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auto" w:val="clear"/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3262" w:type="dxa"/>
            <w:vMerge w:val="continue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auto" w:val="clear"/>
            <w:vAlign w:val="center"/>
          </w:tcPr>
          <w:p>
            <w:pPr>
              <w:pStyle w:val="Normal1"/>
              <w:widowControl w:val="false"/>
              <w:pBdr/>
              <w:spacing w:lineRule="auto" w:line="276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3188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auto" w:val="clear"/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3262" w:type="dxa"/>
            <w:vMerge w:val="continue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auto" w:val="clear"/>
            <w:vAlign w:val="center"/>
          </w:tcPr>
          <w:p>
            <w:pPr>
              <w:pStyle w:val="Normal1"/>
              <w:widowControl w:val="false"/>
              <w:pBdr/>
              <w:spacing w:lineRule="auto" w:line="276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</w:tr>
    </w:tbl>
    <w:p>
      <w:pPr>
        <w:pStyle w:val="Normal1"/>
        <w:jc w:val="center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1"/>
        <w:jc w:val="center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  <w:t>Opis kursu (cele kształcenia)</w:t>
      </w:r>
    </w:p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tbl>
      <w:tblPr>
        <w:tblStyle w:val="a1"/>
        <w:tblW w:w="9640" w:type="dxa"/>
        <w:jc w:val="left"/>
        <w:tblInd w:w="-7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9640"/>
      </w:tblGrid>
      <w:tr>
        <w:trPr>
          <w:trHeight w:val="1360" w:hRule="atLeast"/>
        </w:trPr>
        <w:tc>
          <w:tcPr>
            <w:tcW w:w="964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1"/>
              <w:widowControl w:val="false"/>
              <w:numPr>
                <w:ilvl w:val="0"/>
                <w:numId w:val="1"/>
              </w:numPr>
              <w:ind w:left="714" w:hanging="357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Rozumienie dłuższych wypowiedzi, dyskusji i wykładów. Rozumienie szczegółowych informacji w programach radiowych i telewizyjnych dotyczących wydarzeń współczesnych lub tematów związanych z zainteresowaniami osobistymi lub zawodowymi (materiały w wersji oryginalnej). Przygotowanie do samodzielnego korzystania z angielskojęzycznych źródeł w tym stron internetowych.</w:t>
            </w:r>
          </w:p>
          <w:p>
            <w:pPr>
              <w:pStyle w:val="Normal1"/>
              <w:widowControl w:val="false"/>
              <w:numPr>
                <w:ilvl w:val="0"/>
                <w:numId w:val="1"/>
              </w:numPr>
              <w:ind w:left="714" w:hanging="357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Zwrócenie szczególnej uwagi na umiejętność swobodnej ustnej i pisemnej wypowiedzi w języku angielskim w codziennej komunikacji, a także umiejętność uzasadnienia własnego punktu widzenia w danej kwestii oraz podawania argumentów za i przeciw względem możliwych rozwiązań. Rozbudowanie zasobu słownictwa i doskonalenie go poprzez ćwiczenie wymowy oraz zwrócenie uwagi na frazeologię. Zaprezentowanie najważniejszych aspektów związanych z korzystaniem z jednojęzycznych słowników.</w:t>
            </w:r>
          </w:p>
          <w:p>
            <w:pPr>
              <w:pStyle w:val="Normal1"/>
              <w:widowControl w:val="false"/>
              <w:numPr>
                <w:ilvl w:val="0"/>
                <w:numId w:val="1"/>
              </w:num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Dostarczenie wiedzy związanej z elementami języka specjalistycznego z zakresu kierunku kształcenia. Przygotowanie absolwentów do samodzielnego poszerzania wiedzy związanej z wykorzystaniem języka obcego w życiu zawodowym.</w:t>
            </w:r>
          </w:p>
        </w:tc>
      </w:tr>
    </w:tbl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  <w:t>Warunki wstępne</w:t>
      </w:r>
    </w:p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tbl>
      <w:tblPr>
        <w:tblStyle w:val="a2"/>
        <w:tblW w:w="17339" w:type="dxa"/>
        <w:jc w:val="left"/>
        <w:tblInd w:w="-8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940"/>
        <w:gridCol w:w="7700"/>
        <w:gridCol w:w="7699"/>
      </w:tblGrid>
      <w:tr>
        <w:trPr>
          <w:trHeight w:val="540" w:hRule="atLeast"/>
        </w:trPr>
        <w:tc>
          <w:tcPr>
            <w:tcW w:w="194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Wiedza</w:t>
            </w:r>
          </w:p>
        </w:tc>
        <w:tc>
          <w:tcPr>
            <w:tcW w:w="770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  <w:p>
            <w:pPr>
              <w:pStyle w:val="Normal1"/>
              <w:widowControl w:val="false"/>
              <w:pBdr/>
              <w:jc w:val="both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Wiedza nabyta w trakcie kursu B2-1s</w:t>
            </w:r>
          </w:p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Normal1"/>
              <w:widowControl w:val="false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</w:r>
          </w:p>
          <w:p>
            <w:pPr>
              <w:pStyle w:val="Normal1"/>
              <w:widowControl w:val="false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</w:r>
          </w:p>
          <w:p>
            <w:pPr>
              <w:pStyle w:val="Normal1"/>
              <w:widowControl w:val="false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</w:r>
          </w:p>
        </w:tc>
      </w:tr>
      <w:tr>
        <w:trPr>
          <w:trHeight w:val="560" w:hRule="atLeast"/>
        </w:trPr>
        <w:tc>
          <w:tcPr>
            <w:tcW w:w="194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Umiejętności</w:t>
            </w:r>
          </w:p>
        </w:tc>
        <w:tc>
          <w:tcPr>
            <w:tcW w:w="770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Normal1"/>
              <w:widowControl w:val="false"/>
              <w:pBdr/>
              <w:jc w:val="both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Umiejętności nabyte w trakcie kursu B2-1s</w:t>
            </w:r>
          </w:p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Normal1"/>
              <w:widowControl w:val="false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</w:r>
          </w:p>
          <w:p>
            <w:pPr>
              <w:pStyle w:val="Normal1"/>
              <w:widowControl w:val="false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</w:r>
          </w:p>
        </w:tc>
      </w:tr>
      <w:tr>
        <w:trPr/>
        <w:tc>
          <w:tcPr>
            <w:tcW w:w="194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Kursy</w:t>
            </w:r>
          </w:p>
        </w:tc>
        <w:tc>
          <w:tcPr>
            <w:tcW w:w="770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Normal1"/>
              <w:widowControl w:val="false"/>
              <w:pBdr/>
              <w:jc w:val="both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Kurs B2-1s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Normal1"/>
              <w:widowControl w:val="false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</w:r>
          </w:p>
          <w:p>
            <w:pPr>
              <w:pStyle w:val="Normal1"/>
              <w:widowControl w:val="false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</w:r>
          </w:p>
        </w:tc>
      </w:tr>
    </w:tbl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  <w:t>Efekty uczenia się</w:t>
      </w:r>
    </w:p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tbl>
      <w:tblPr>
        <w:tblStyle w:val="a3"/>
        <w:tblW w:w="9640" w:type="dxa"/>
        <w:jc w:val="left"/>
        <w:tblInd w:w="-7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979"/>
        <w:gridCol w:w="5296"/>
        <w:gridCol w:w="2365"/>
      </w:tblGrid>
      <w:tr>
        <w:trPr>
          <w:trHeight w:val="920" w:hRule="atLeast"/>
        </w:trPr>
        <w:tc>
          <w:tcPr>
            <w:tcW w:w="1979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themeFill="accent1" w:themeFillTint="33" w:val="clear"/>
            <w:vAlign w:val="cente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themeFill="accent1" w:themeFillTint="33" w:val="clear"/>
            <w:vAlign w:val="cente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Efekt uczenia siędla kursu</w:t>
            </w:r>
          </w:p>
        </w:tc>
        <w:tc>
          <w:tcPr>
            <w:tcW w:w="23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themeFill="accent1" w:themeFillTint="33" w:val="clear"/>
            <w:vAlign w:val="cente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Odniesienie do efektów kierunkowych</w:t>
            </w:r>
          </w:p>
        </w:tc>
      </w:tr>
      <w:tr>
        <w:trPr>
          <w:trHeight w:val="1820" w:hRule="atLeast"/>
        </w:trPr>
        <w:tc>
          <w:tcPr>
            <w:tcW w:w="1979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1"/>
              <w:widowControl w:val="false"/>
              <w:pBdr/>
              <w:spacing w:lineRule="auto" w:line="276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52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1"/>
              <w:widowControl w:val="false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 xml:space="preserve">W1 Student zna struktury gramatyczne charakterystyczne dla omawianych treści. </w:t>
            </w:r>
          </w:p>
          <w:p>
            <w:pPr>
              <w:pStyle w:val="Normal1"/>
              <w:widowControl w:val="false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 xml:space="preserve">W2 Student zna struktury leksykalne charakterystyczne dla omawianych treści. </w:t>
            </w:r>
          </w:p>
          <w:p>
            <w:pPr>
              <w:pStyle w:val="Normal1"/>
              <w:widowControl w:val="false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W4 Student posiada podstawową wiedzę z zakresu języka specjalistycznego.</w:t>
            </w:r>
          </w:p>
          <w:p>
            <w:pPr>
              <w:pStyle w:val="Normal1"/>
              <w:widowControl w:val="false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23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1"/>
              <w:widowControl w:val="false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  <w:p>
            <w:pPr>
              <w:pStyle w:val="Normal1"/>
              <w:widowControl w:val="false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</w:tr>
    </w:tbl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tbl>
      <w:tblPr>
        <w:tblStyle w:val="a4"/>
        <w:tblW w:w="9640" w:type="dxa"/>
        <w:jc w:val="left"/>
        <w:tblInd w:w="-7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984"/>
        <w:gridCol w:w="5246"/>
        <w:gridCol w:w="2410"/>
      </w:tblGrid>
      <w:tr>
        <w:trPr>
          <w:trHeight w:val="920" w:hRule="atLeast"/>
        </w:trPr>
        <w:tc>
          <w:tcPr>
            <w:tcW w:w="1984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themeFill="accent1" w:themeFillTint="33" w:val="clear"/>
            <w:vAlign w:val="cente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Umiejętności</w:t>
            </w:r>
          </w:p>
        </w:tc>
        <w:tc>
          <w:tcPr>
            <w:tcW w:w="524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themeFill="accent1" w:themeFillTint="33" w:val="clear"/>
            <w:vAlign w:val="cente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Efekt uczenia siędla kursu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themeFill="accent1" w:themeFillTint="33" w:val="clear"/>
            <w:vAlign w:val="cente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Odniesienie do efektów kierunkowych</w:t>
            </w:r>
          </w:p>
        </w:tc>
      </w:tr>
      <w:tr>
        <w:trPr>
          <w:trHeight w:val="2100" w:hRule="atLeast"/>
        </w:trPr>
        <w:tc>
          <w:tcPr>
            <w:tcW w:w="1984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1"/>
              <w:widowControl w:val="false"/>
              <w:pBdr/>
              <w:spacing w:lineRule="auto" w:line="276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524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U1 Student samodzielnie umie tworzyć i wykorzystać struktury gramatyczne charakterystyczne dla omawianych treści.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U2 Student posiada umiejętność wykorzystania struktur leksykalnych charakterystycznych dla omawianych treści.</w:t>
            </w:r>
          </w:p>
          <w:p>
            <w:pPr>
              <w:pStyle w:val="Normal1"/>
              <w:widowControl w:val="false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U3 Student potrafi posługiwać się podstawowymi sformułowaniami z zakresu języka specjalistycznego.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1"/>
              <w:widowControl w:val="false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</w:tr>
    </w:tbl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tbl>
      <w:tblPr>
        <w:tblStyle w:val="a5"/>
        <w:tblW w:w="9640" w:type="dxa"/>
        <w:jc w:val="left"/>
        <w:tblInd w:w="-7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984"/>
        <w:gridCol w:w="5246"/>
        <w:gridCol w:w="2410"/>
      </w:tblGrid>
      <w:tr>
        <w:trPr>
          <w:trHeight w:val="800" w:hRule="atLeast"/>
        </w:trPr>
        <w:tc>
          <w:tcPr>
            <w:tcW w:w="1984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themeFill="accent1" w:themeFillTint="33" w:val="clear"/>
            <w:vAlign w:val="cente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Kompetencje społeczne</w:t>
            </w:r>
          </w:p>
        </w:tc>
        <w:tc>
          <w:tcPr>
            <w:tcW w:w="524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themeFill="accent1" w:themeFillTint="33" w:val="clear"/>
            <w:vAlign w:val="cente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Efekt uczenia siędla kursu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themeFill="accent1" w:themeFillTint="33" w:val="clear"/>
            <w:vAlign w:val="cente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Odniesienie do efektów kierunkowych</w:t>
            </w:r>
          </w:p>
        </w:tc>
      </w:tr>
      <w:tr>
        <w:trPr>
          <w:trHeight w:val="1980" w:hRule="atLeast"/>
        </w:trPr>
        <w:tc>
          <w:tcPr>
            <w:tcW w:w="1984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1"/>
              <w:widowControl w:val="false"/>
              <w:pBdr/>
              <w:spacing w:lineRule="auto" w:line="276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524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1"/>
              <w:widowControl w:val="false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 xml:space="preserve">K1 Student posiada kompetencje w zakresie stosowania wiedzy teoretycznej i praktycznej nabytej w trakcie kursu oraz swobodnie komunikuje się w języku angielskim. </w:t>
            </w:r>
          </w:p>
          <w:p>
            <w:pPr>
              <w:pStyle w:val="Normal1"/>
              <w:widowControl w:val="false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 xml:space="preserve">K2 Student potrafi funkcjonować w obcej kulturze, uczestniczy w jej życiu codziennym, inicjuje kontakty międzynarodowe. </w:t>
            </w:r>
          </w:p>
          <w:p>
            <w:pPr>
              <w:pStyle w:val="Normal1"/>
              <w:widowControl w:val="false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K3 Student umiejętnie uczestniczy w pracach w środowisku międzynarodowym.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1"/>
              <w:widowControl w:val="false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</w:tr>
    </w:tbl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tbl>
      <w:tblPr>
        <w:tblStyle w:val="a6"/>
        <w:tblW w:w="9639" w:type="dxa"/>
        <w:jc w:val="left"/>
        <w:tblInd w:w="-19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609"/>
        <w:gridCol w:w="1225"/>
        <w:gridCol w:w="850"/>
        <w:gridCol w:w="272"/>
        <w:gridCol w:w="862"/>
        <w:gridCol w:w="315"/>
        <w:gridCol w:w="820"/>
        <w:gridCol w:w="284"/>
        <w:gridCol w:w="849"/>
        <w:gridCol w:w="284"/>
        <w:gridCol w:w="851"/>
        <w:gridCol w:w="284"/>
        <w:gridCol w:w="849"/>
        <w:gridCol w:w="284"/>
      </w:tblGrid>
      <w:tr>
        <w:trPr>
          <w:trHeight w:val="420" w:hRule="atLeast"/>
        </w:trPr>
        <w:tc>
          <w:tcPr>
            <w:tcW w:w="9638" w:type="dxa"/>
            <w:gridSpan w:val="14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ind w:left="45" w:right="137" w:hanging="0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Organizacja</w:t>
            </w:r>
          </w:p>
        </w:tc>
      </w:tr>
      <w:tr>
        <w:trPr>
          <w:trHeight w:val="640" w:hRule="atLeast"/>
        </w:trPr>
        <w:tc>
          <w:tcPr>
            <w:tcW w:w="1609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Wykład</w:t>
            </w:r>
          </w:p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Ćwiczenia w grupach</w:t>
            </w:r>
          </w:p>
        </w:tc>
      </w:tr>
      <w:tr>
        <w:trPr>
          <w:trHeight w:val="460" w:hRule="atLeast"/>
        </w:trPr>
        <w:tc>
          <w:tcPr>
            <w:tcW w:w="1609" w:type="dxa"/>
            <w:vMerge w:val="continue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1"/>
              <w:widowControl w:val="false"/>
              <w:pBdr/>
              <w:spacing w:lineRule="auto" w:line="276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225" w:type="dxa"/>
            <w:vMerge w:val="continue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1"/>
              <w:widowControl w:val="false"/>
              <w:pBdr/>
              <w:spacing w:lineRule="auto" w:line="276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A</w:t>
            </w:r>
          </w:p>
        </w:tc>
        <w:tc>
          <w:tcPr>
            <w:tcW w:w="27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86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82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84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S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85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P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84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E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</w:tr>
      <w:tr>
        <w:trPr>
          <w:trHeight w:val="480" w:hRule="atLeast"/>
        </w:trPr>
        <w:tc>
          <w:tcPr>
            <w:tcW w:w="160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12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177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10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13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135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13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</w:tr>
      <w:tr>
        <w:trPr>
          <w:trHeight w:val="460" w:hRule="atLeast"/>
        </w:trPr>
        <w:tc>
          <w:tcPr>
            <w:tcW w:w="160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22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12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177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10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13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135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13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</w:tr>
    </w:tbl>
    <w:p>
      <w:pPr>
        <w:pStyle w:val="Normal1"/>
        <w:pBdr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Normal1"/>
        <w:pBdr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  <w:t>Opis metod prowadzenia zajęć</w:t>
      </w:r>
    </w:p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tbl>
      <w:tblPr>
        <w:tblStyle w:val="a7"/>
        <w:tblW w:w="9622" w:type="dxa"/>
        <w:jc w:val="left"/>
        <w:tblInd w:w="-7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9622"/>
      </w:tblGrid>
      <w:tr>
        <w:trPr>
          <w:trHeight w:val="1920" w:hRule="atLeast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Paragraph"/>
              <w:widowControl w:val="false"/>
              <w:shd w:val="clear" w:color="auto" w:fill="FFFFFF"/>
              <w:rPr>
                <w:rFonts w:ascii="Arial" w:hAnsi="Arial" w:cs="Arial"/>
              </w:rPr>
            </w:pPr>
            <w:r>
              <w:rPr>
                <w:rStyle w:val="Normaltextrun"/>
                <w:rFonts w:cs="Arial" w:ascii="Arial" w:hAnsi="Arial"/>
                <w:iCs/>
              </w:rPr>
              <w:t>Metoda komunikacyjna</w:t>
            </w:r>
            <w:r>
              <w:rPr>
                <w:rStyle w:val="Eop"/>
                <w:rFonts w:cs="Arial" w:ascii="Arial" w:hAnsi="Arial"/>
                <w:iCs/>
              </w:rPr>
              <w:t> </w:t>
            </w:r>
          </w:p>
          <w:p>
            <w:pPr>
              <w:pStyle w:val="Paragraph"/>
              <w:widowControl w:val="false"/>
              <w:shd w:val="clear" w:color="auto" w:fill="FFFFFF"/>
              <w:rPr>
                <w:rFonts w:ascii="Arial" w:hAnsi="Arial" w:cs="Arial"/>
              </w:rPr>
            </w:pPr>
            <w:r>
              <w:rPr>
                <w:rStyle w:val="Normaltextrun"/>
                <w:rFonts w:cs="Arial" w:ascii="Arial" w:hAnsi="Arial"/>
                <w:iCs/>
              </w:rPr>
              <w:t>Celem metody komunikacyjnej jest wykształcenie i doskonalenie umiejętności skutecznego komunikowania się w języku obcym w sposób adekwatny do konkretnych okoliczności. </w:t>
            </w:r>
            <w:r>
              <w:rPr>
                <w:rStyle w:val="Eop"/>
                <w:rFonts w:cs="Arial" w:ascii="Arial" w:hAnsi="Arial"/>
                <w:iCs/>
              </w:rPr>
              <w:t> </w:t>
            </w:r>
          </w:p>
          <w:p>
            <w:pPr>
              <w:pStyle w:val="Paragraph"/>
              <w:widowControl w:val="false"/>
              <w:shd w:val="clear" w:color="auto" w:fill="FFFFFF"/>
              <w:rPr>
                <w:rFonts w:ascii="Arial" w:hAnsi="Arial" w:cs="Arial"/>
              </w:rPr>
            </w:pPr>
            <w:r>
              <w:rPr>
                <w:rStyle w:val="Normaltextrun"/>
                <w:rFonts w:cs="Arial" w:ascii="Arial" w:hAnsi="Arial"/>
                <w:iCs/>
              </w:rPr>
              <w:t>Stosowanie tej metody podczas zajęć ma na celu stworzenie różnorodnych sytuacji, w których można znaleźć się w życiu codziennym. Szczególnie istotne są ćwiczenia, w których uczestnicy odgrywają dialogi w parach, bądź prowadzą rozmowy w małych grupach. Metoda komunikacyjna opiera się na wykorzystywaniu w trakcie zajęć autentycznych materiałów audiowizualnych, dzięki którym studenci muszą rozwiązywać rzeczywiste problemy z życia codziennego.</w:t>
            </w:r>
            <w:r>
              <w:rPr>
                <w:rStyle w:val="Eop"/>
                <w:rFonts w:cs="Arial" w:ascii="Arial" w:hAnsi="Arial"/>
                <w:iCs/>
              </w:rPr>
              <w:t> </w:t>
            </w:r>
          </w:p>
          <w:p>
            <w:pPr>
              <w:pStyle w:val="Paragraph"/>
              <w:widowControl w:val="false"/>
              <w:shd w:val="clear" w:color="auto" w:fill="FFFFFF"/>
              <w:rPr>
                <w:rFonts w:ascii="Arial" w:hAnsi="Arial" w:cs="Arial"/>
              </w:rPr>
            </w:pPr>
            <w:r>
              <w:rPr>
                <w:rStyle w:val="Normaltextrun"/>
                <w:rFonts w:cs="Arial" w:ascii="Arial" w:hAnsi="Arial"/>
                <w:iCs/>
              </w:rPr>
              <w:t>Nauczanie zdalne i hybrydowe </w:t>
            </w:r>
            <w:r>
              <w:rPr>
                <w:rStyle w:val="Eop"/>
                <w:rFonts w:cs="Arial" w:ascii="Arial" w:hAnsi="Arial"/>
                <w:iCs/>
              </w:rPr>
              <w:t> </w:t>
            </w:r>
          </w:p>
          <w:p>
            <w:pPr>
              <w:pStyle w:val="Paragraph"/>
              <w:widowControl w:val="false"/>
              <w:shd w:val="clear" w:color="auto" w:fill="FFFFFF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cs="Arial" w:ascii="Arial" w:hAnsi="Arial"/>
                <w:iCs/>
              </w:rPr>
              <w:t>Zajęcia prowadzone są w formie zdalnej lub hybrydowej z wykorzystaniem platformy </w:t>
            </w:r>
            <w:r>
              <w:rPr>
                <w:rStyle w:val="Spellingerror"/>
                <w:rFonts w:cs="Arial" w:ascii="Arial" w:hAnsi="Arial"/>
                <w:iCs/>
              </w:rPr>
              <w:t>Moodle</w:t>
            </w:r>
            <w:r>
              <w:rPr>
                <w:rStyle w:val="Normaltextrun"/>
                <w:rFonts w:cs="Arial" w:ascii="Arial" w:hAnsi="Arial"/>
                <w:iCs/>
              </w:rPr>
              <w:t> oraz Microsoft </w:t>
            </w:r>
            <w:r>
              <w:rPr>
                <w:rStyle w:val="Spellingerror"/>
                <w:rFonts w:cs="Arial" w:ascii="Arial" w:hAnsi="Arial"/>
                <w:iCs/>
              </w:rPr>
              <w:t>Teams</w:t>
            </w:r>
            <w:r>
              <w:rPr>
                <w:rStyle w:val="Normaltextrun"/>
                <w:rFonts w:cs="Arial" w:ascii="Arial" w:hAnsi="Arial"/>
                <w:iCs/>
              </w:rPr>
              <w:t>.</w:t>
            </w:r>
            <w:r>
              <w:rPr>
                <w:rStyle w:val="Normaltextrun"/>
                <w:rFonts w:cs="Arial" w:ascii="Candara" w:hAnsi="Candara"/>
                <w:i/>
                <w:iCs/>
              </w:rPr>
              <w:t> </w:t>
            </w:r>
            <w:r>
              <w:rPr>
                <w:rStyle w:val="Eop"/>
                <w:rFonts w:cs="Segoe UI" w:ascii="Candara" w:hAnsi="Candara"/>
                <w:i/>
                <w:iCs/>
              </w:rPr>
              <w:t> </w:t>
            </w:r>
          </w:p>
        </w:tc>
      </w:tr>
    </w:tbl>
    <w:p>
      <w:pPr>
        <w:pStyle w:val="Normal1"/>
        <w:pBdr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Normal1"/>
        <w:pBdr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Normal1"/>
        <w:pBdr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  <w:t>Formy sprawdzania efektów kształcenia</w:t>
      </w:r>
    </w:p>
    <w:tbl>
      <w:tblPr>
        <w:tblStyle w:val="a8"/>
        <w:tblW w:w="962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00"/>
      </w:tblPr>
      <w:tblGrid>
        <w:gridCol w:w="962"/>
        <w:gridCol w:w="665"/>
        <w:gridCol w:w="666"/>
        <w:gridCol w:w="667"/>
        <w:gridCol w:w="666"/>
        <w:gridCol w:w="665"/>
        <w:gridCol w:w="666"/>
        <w:gridCol w:w="667"/>
        <w:gridCol w:w="666"/>
        <w:gridCol w:w="564"/>
        <w:gridCol w:w="768"/>
        <w:gridCol w:w="667"/>
        <w:gridCol w:w="666"/>
        <w:gridCol w:w="665"/>
      </w:tblGrid>
      <w:tr>
        <w:trPr>
          <w:trHeight w:val="1600" w:hRule="atLeast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ind w:left="113" w:right="113" w:hanging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ind w:left="113" w:right="113" w:hanging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E – learning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ind w:left="113" w:right="113" w:hanging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Gry dydaktyczne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ind w:left="113" w:right="113" w:hanging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ind w:left="113" w:right="113" w:hanging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Zajęcia terenowe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ind w:left="113" w:right="113" w:hanging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ind w:left="113" w:right="113" w:hanging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Projekt indywidualny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ind w:left="113" w:right="113" w:hanging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ind w:left="113" w:right="113" w:hanging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ind w:left="113" w:right="113" w:hanging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Referat</w:t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ind w:left="113" w:right="113" w:hanging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Praca pisemna (esej)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ind w:left="113" w:right="113" w:hanging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ind w:left="113" w:right="113" w:hanging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Egzamin pisemny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ind w:left="113" w:right="113" w:hanging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Inne</w:t>
            </w:r>
          </w:p>
        </w:tc>
      </w:tr>
      <w:tr>
        <w:trPr>
          <w:trHeight w:val="240" w:hRule="atLeast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pBdr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W01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</w:tr>
      <w:tr>
        <w:trPr>
          <w:trHeight w:val="240" w:hRule="atLeast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W02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</w:tr>
      <w:tr>
        <w:trPr>
          <w:trHeight w:val="240" w:hRule="atLeast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W03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</w:tr>
      <w:tr>
        <w:trPr>
          <w:trHeight w:val="240" w:hRule="atLeast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U01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</w:tr>
      <w:tr>
        <w:trPr>
          <w:trHeight w:val="240" w:hRule="atLeast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U02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</w:tr>
      <w:tr>
        <w:trPr>
          <w:trHeight w:val="240" w:hRule="atLeast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U03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</w:tr>
      <w:tr>
        <w:trPr>
          <w:trHeight w:val="240" w:hRule="atLeast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K01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</w:tr>
      <w:tr>
        <w:trPr>
          <w:trHeight w:val="240" w:hRule="atLeast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K02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1"/>
              <w:widowControl w:val="false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  <w:t>X</w:t>
            </w:r>
          </w:p>
        </w:tc>
      </w:tr>
    </w:tbl>
    <w:p>
      <w:pPr>
        <w:pStyle w:val="Normal1"/>
        <w:pBdr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Normal1"/>
        <w:pBdr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Normal1"/>
        <w:pBdr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tbl>
      <w:tblPr>
        <w:tblStyle w:val="a9"/>
        <w:tblW w:w="9640" w:type="dxa"/>
        <w:jc w:val="left"/>
        <w:tblInd w:w="-11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940"/>
        <w:gridCol w:w="7699"/>
      </w:tblGrid>
      <w:tr>
        <w:trPr/>
        <w:tc>
          <w:tcPr>
            <w:tcW w:w="194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pBdr/>
              <w:spacing w:before="57" w:after="57"/>
              <w:jc w:val="center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</w:tcPr>
          <w:p>
            <w:pPr>
              <w:pStyle w:val="Normal1"/>
              <w:widowControl w:val="false"/>
              <w:pBdr/>
              <w:spacing w:before="57" w:after="57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Zaliczenie kursu odbywa się na podstawie oceny poszczególnych efektów kształcenia (e- nauczanie, gry dydaktyczne, projekt indywidualny i grupowy, udział w dyskusji, prace pisemne, wypowiedź ustna, testy zaliczeniowe) a także aktywnego uczestnictwa w zajęciach.</w:t>
            </w:r>
          </w:p>
          <w:p>
            <w:pPr>
              <w:pStyle w:val="Normal1"/>
              <w:widowControl w:val="false"/>
              <w:pBdr/>
              <w:spacing w:before="57" w:after="57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</w:r>
          </w:p>
        </w:tc>
      </w:tr>
    </w:tbl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tbl>
      <w:tblPr>
        <w:tblStyle w:val="aa"/>
        <w:tblW w:w="9640" w:type="dxa"/>
        <w:jc w:val="left"/>
        <w:tblInd w:w="-11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940"/>
        <w:gridCol w:w="7699"/>
      </w:tblGrid>
      <w:tr>
        <w:trPr>
          <w:trHeight w:val="1080" w:hRule="atLeast"/>
        </w:trPr>
        <w:tc>
          <w:tcPr>
            <w:tcW w:w="194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spacing w:before="0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Uwagi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</w:tcPr>
          <w:p>
            <w:pPr>
              <w:pStyle w:val="Normal1"/>
              <w:widowControl w:val="false"/>
              <w:pBdr/>
              <w:spacing w:before="57" w:after="57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  <w:r>
              <w:rPr>
                <w:rFonts w:eastAsia="Arial" w:cs="Arial" w:ascii="Arial" w:hAnsi="Arial"/>
                <w:color w:val="000000"/>
                <w:sz w:val="22"/>
                <w:szCs w:val="22"/>
              </w:rPr>
            </w:r>
          </w:p>
          <w:p>
            <w:pPr>
              <w:pStyle w:val="Normal1"/>
              <w:widowControl w:val="false"/>
              <w:pBdr/>
              <w:spacing w:before="57" w:after="57"/>
              <w:rPr>
                <w:rFonts w:ascii="Arial" w:hAnsi="Arial" w:eastAsia="Arial" w:cs="Arial"/>
                <w:color w:val="000000"/>
                <w:sz w:val="22"/>
                <w:szCs w:val="22"/>
              </w:rPr>
            </w:pPr>
            <w:r>
              <w:rPr>
                <w:rFonts w:eastAsia="Arial" w:cs="Arial" w:ascii="Arial" w:hAnsi="Arial"/>
                <w:color w:val="000000"/>
                <w:sz w:val="22"/>
                <w:szCs w:val="22"/>
              </w:rPr>
            </w:r>
          </w:p>
        </w:tc>
      </w:tr>
    </w:tbl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  <w:t>Treści merytoryczne (wykaz tematów)</w:t>
      </w:r>
    </w:p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tbl>
      <w:tblPr>
        <w:tblStyle w:val="ab"/>
        <w:tblW w:w="9622" w:type="dxa"/>
        <w:jc w:val="left"/>
        <w:tblInd w:w="-7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9622"/>
      </w:tblGrid>
      <w:tr>
        <w:trPr>
          <w:trHeight w:val="1120" w:hRule="atLeast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Tekstdymka1"/>
              <w:widowControl w:val="false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  <w:t>Czytanie i pisanie historii na 50 słów oraz krótkich opowiadań</w:t>
            </w:r>
          </w:p>
          <w:p>
            <w:pPr>
              <w:pStyle w:val="Tekstdymka1"/>
              <w:widowControl w:val="false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  <w:t>Przysłówki</w:t>
            </w:r>
          </w:p>
          <w:p>
            <w:pPr>
              <w:pStyle w:val="Tekstdymka1"/>
              <w:widowControl w:val="false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  <w:t xml:space="preserve">Zbrodnia i kara – praca z tekstem, strona bierna </w:t>
            </w:r>
          </w:p>
          <w:p>
            <w:pPr>
              <w:pStyle w:val="Tekstdymka1"/>
              <w:widowControl w:val="false"/>
              <w:rPr>
                <w:rFonts w:ascii="Arial" w:hAnsi="Arial" w:cs="Arial"/>
                <w:sz w:val="20"/>
              </w:rPr>
            </w:pPr>
            <w:r>
              <w:rPr>
                <w:rFonts w:cs="Arial" w:ascii="Arial" w:hAnsi="Arial"/>
                <w:sz w:val="20"/>
              </w:rPr>
              <w:t xml:space="preserve">Środowisko naturalne – pogoda, klęski żywiołowe, </w:t>
            </w: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 xml:space="preserve">zagrożenia wynikające z działalności człowieka, </w:t>
            </w:r>
            <w:r>
              <w:rPr>
                <w:rFonts w:cs="Arial" w:ascii="Arial" w:hAnsi="Arial"/>
                <w:sz w:val="20"/>
              </w:rPr>
              <w:t>ćwiczenia słownikowe i fonetyczne; praca z tekstem oraz ćwiczenia na słuchanie</w:t>
            </w:r>
          </w:p>
          <w:p>
            <w:pPr>
              <w:pStyle w:val="Normal1"/>
              <w:widowControl w:val="false"/>
              <w:pBdr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Formy wyrażania przyszłości</w:t>
            </w:r>
          </w:p>
          <w:p>
            <w:pPr>
              <w:pStyle w:val="Normal1"/>
              <w:widowControl w:val="false"/>
              <w:pBdr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Ryzykowne zachowanie, sporty ekstremalne</w:t>
            </w:r>
          </w:p>
          <w:p>
            <w:pPr>
              <w:pStyle w:val="Normal1"/>
              <w:widowControl w:val="false"/>
              <w:pBdr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 xml:space="preserve">Okresy warunkowe 0/1 oraz </w:t>
            </w:r>
            <w:r>
              <w:rPr>
                <w:rFonts w:eastAsia="Arial" w:cs="Arial" w:ascii="Arial" w:hAnsi="Arial"/>
                <w:i/>
                <w:color w:val="000000"/>
                <w:sz w:val="20"/>
                <w:szCs w:val="20"/>
              </w:rPr>
              <w:t>time clauses</w:t>
            </w: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 xml:space="preserve"> </w:t>
            </w:r>
          </w:p>
          <w:p>
            <w:pPr>
              <w:pStyle w:val="Normal1"/>
              <w:widowControl w:val="false"/>
              <w:pBdr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 xml:space="preserve">Sztuka przetrwania </w:t>
            </w:r>
          </w:p>
          <w:p>
            <w:pPr>
              <w:pStyle w:val="Normal1"/>
              <w:widowControl w:val="false"/>
              <w:pBdr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Uczucia i emocje -</w:t>
            </w:r>
            <w:r>
              <w:rPr>
                <w:rFonts w:cs="Arial" w:ascii="Arial" w:hAnsi="Arial"/>
                <w:sz w:val="20"/>
              </w:rPr>
              <w:t xml:space="preserve"> ćwiczenia słownikowe</w:t>
            </w:r>
          </w:p>
          <w:p>
            <w:pPr>
              <w:pStyle w:val="Normal1"/>
              <w:widowControl w:val="false"/>
              <w:pBdr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 xml:space="preserve">Okresy warunkowe 2/3 </w:t>
            </w:r>
          </w:p>
          <w:p>
            <w:pPr>
              <w:pStyle w:val="Normal1"/>
              <w:widowControl w:val="false"/>
              <w:pBdr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 xml:space="preserve">Żałuję, że... – praca z tekstem, struktury gramatyczne z </w:t>
            </w:r>
            <w:r>
              <w:rPr>
                <w:rFonts w:eastAsia="Arial" w:cs="Arial" w:ascii="Arial" w:hAnsi="Arial"/>
                <w:i/>
                <w:color w:val="000000"/>
                <w:sz w:val="20"/>
                <w:szCs w:val="20"/>
              </w:rPr>
              <w:t>wish</w:t>
            </w: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 xml:space="preserve"> </w:t>
            </w:r>
          </w:p>
          <w:p>
            <w:pPr>
              <w:pStyle w:val="Normal1"/>
              <w:widowControl w:val="false"/>
              <w:pBdr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 xml:space="preserve">Przymiotniki z końcówką </w:t>
            </w:r>
            <w:r>
              <w:rPr>
                <w:rFonts w:eastAsia="Arial" w:cs="Arial" w:ascii="Arial" w:hAnsi="Arial"/>
                <w:i/>
                <w:color w:val="000000"/>
                <w:sz w:val="20"/>
                <w:szCs w:val="20"/>
              </w:rPr>
              <w:t>–ed</w:t>
            </w: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 xml:space="preserve"> i </w:t>
            </w:r>
            <w:r>
              <w:rPr>
                <w:rFonts w:eastAsia="Arial" w:cs="Arial" w:ascii="Arial" w:hAnsi="Arial"/>
                <w:i/>
                <w:color w:val="000000"/>
                <w:sz w:val="20"/>
                <w:szCs w:val="20"/>
              </w:rPr>
              <w:t>-ing</w:t>
            </w:r>
          </w:p>
          <w:p>
            <w:pPr>
              <w:pStyle w:val="Normal1"/>
              <w:widowControl w:val="false"/>
              <w:pBdr/>
              <w:rPr>
                <w:rFonts w:ascii="Arial" w:hAnsi="Arial" w:eastAsia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  <w:lang w:val="en-GB"/>
              </w:rPr>
              <w:t>Sen – ćwiczenia słownikowe</w:t>
            </w:r>
          </w:p>
          <w:p>
            <w:pPr>
              <w:pStyle w:val="Normal1"/>
              <w:widowControl w:val="false"/>
              <w:pBdr/>
              <w:rPr>
                <w:rFonts w:ascii="Arial" w:hAnsi="Arial" w:eastAsia="Arial" w:cs="Arial"/>
                <w:color w:val="000000"/>
                <w:sz w:val="20"/>
                <w:szCs w:val="20"/>
                <w:lang w:val="en-GB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  <w:lang w:val="en-GB"/>
              </w:rPr>
              <w:t xml:space="preserve">Formy gramatyczne </w:t>
            </w:r>
            <w:r>
              <w:rPr>
                <w:rFonts w:eastAsia="Arial" w:cs="Arial" w:ascii="Arial" w:hAnsi="Arial"/>
                <w:i/>
                <w:color w:val="000000"/>
                <w:sz w:val="20"/>
                <w:szCs w:val="20"/>
                <w:lang w:val="en-GB"/>
              </w:rPr>
              <w:t>be/get used to/used to</w:t>
            </w:r>
            <w:r>
              <w:rPr>
                <w:rFonts w:eastAsia="Arial" w:cs="Arial" w:ascii="Arial" w:hAnsi="Arial"/>
                <w:color w:val="000000"/>
                <w:sz w:val="20"/>
                <w:szCs w:val="20"/>
                <w:lang w:val="en-GB"/>
              </w:rPr>
              <w:t xml:space="preserve"> </w:t>
            </w:r>
          </w:p>
          <w:p>
            <w:pPr>
              <w:pStyle w:val="Normal1"/>
              <w:widowControl w:val="false"/>
              <w:pBdr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Muzyka i jej wpływ na życie ludzkie – ćwiczenia słownikowe, praca z tekstem, ćwiczenia na słuchanie</w:t>
            </w:r>
          </w:p>
          <w:p>
            <w:pPr>
              <w:pStyle w:val="Normal1"/>
              <w:widowControl w:val="false"/>
              <w:pBdr/>
              <w:rPr>
                <w:rFonts w:ascii="Arial" w:hAnsi="Arial" w:eastAsia="Arial" w:cs="Arial"/>
                <w:i/>
                <w:i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 xml:space="preserve">Formy czasownikowe </w:t>
            </w:r>
            <w:r>
              <w:rPr>
                <w:rFonts w:eastAsia="Arial" w:cs="Arial" w:ascii="Arial" w:hAnsi="Arial"/>
                <w:i/>
                <w:color w:val="000000"/>
                <w:sz w:val="20"/>
                <w:szCs w:val="20"/>
              </w:rPr>
              <w:t xml:space="preserve">gerund/infinitive </w:t>
            </w:r>
          </w:p>
          <w:p>
            <w:pPr>
              <w:pStyle w:val="Normal1"/>
              <w:widowControl w:val="false"/>
              <w:pBdr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 xml:space="preserve">Powtórzenie materiału </w:t>
            </w:r>
          </w:p>
          <w:p>
            <w:pPr>
              <w:pStyle w:val="Normal1"/>
              <w:widowControl w:val="false"/>
              <w:pBdr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Elementy języka specjalistycznego</w:t>
            </w:r>
            <w:r>
              <w:rPr>
                <w:rFonts w:eastAsia="Tahoma" w:cs="Tahoma" w:ascii="Tahoma" w:hAnsi="Tahoma"/>
                <w:color w:val="000000"/>
                <w:sz w:val="16"/>
                <w:szCs w:val="16"/>
              </w:rPr>
              <w:t xml:space="preserve"> </w:t>
            </w:r>
          </w:p>
        </w:tc>
      </w:tr>
    </w:tbl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  <w:t>Słowniczek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22" w:type="dxa"/>
        <w:jc w:val="left"/>
        <w:tblInd w:w="-72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000"/>
      </w:tblPr>
      <w:tblGrid>
        <w:gridCol w:w="9622"/>
      </w:tblGrid>
      <w:tr>
        <w:trPr>
          <w:trHeight w:val="1136" w:hRule="atLeast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lang w:val="en-GB"/>
              </w:rPr>
            </w:pPr>
            <w:r>
              <w:rPr>
                <w:rFonts w:cs="Arial" w:ascii="Arial" w:hAnsi="Arial"/>
                <w:sz w:val="20"/>
                <w:lang w:val="en-GB"/>
              </w:rPr>
              <w:t>50-word stories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lang w:val="en-GB"/>
              </w:rPr>
            </w:pPr>
            <w:r>
              <w:rPr>
                <w:rFonts w:cs="Arial" w:ascii="Arial" w:hAnsi="Arial"/>
                <w:sz w:val="20"/>
                <w:lang w:val="en-GB"/>
              </w:rPr>
              <w:t>adverbs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lang w:val="en-GB"/>
              </w:rPr>
            </w:pPr>
            <w:r>
              <w:rPr>
                <w:rFonts w:cs="Arial" w:ascii="Arial" w:hAnsi="Arial"/>
                <w:sz w:val="20"/>
                <w:lang w:val="en-GB"/>
              </w:rPr>
              <w:t>expressing future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lang w:val="en-GB"/>
              </w:rPr>
            </w:pPr>
            <w:r>
              <w:rPr>
                <w:rFonts w:cs="Arial" w:ascii="Arial" w:hAnsi="Arial"/>
                <w:sz w:val="20"/>
                <w:lang w:val="en-GB"/>
              </w:rPr>
              <w:t>zero and first conditionals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lang w:val="en-GB"/>
              </w:rPr>
            </w:pPr>
            <w:r>
              <w:rPr>
                <w:rFonts w:cs="Arial" w:ascii="Arial" w:hAnsi="Arial"/>
                <w:sz w:val="20"/>
                <w:lang w:val="en-GB"/>
              </w:rPr>
              <w:t>future time clauses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lang w:val="en-GB"/>
              </w:rPr>
            </w:pPr>
            <w:r>
              <w:rPr>
                <w:rFonts w:cs="Arial" w:ascii="Arial" w:hAnsi="Arial"/>
                <w:sz w:val="20"/>
                <w:szCs w:val="20"/>
                <w:lang w:val="en-GB"/>
              </w:rPr>
              <w:t xml:space="preserve">unreal </w:t>
            </w:r>
            <w:r>
              <w:rPr>
                <w:rFonts w:cs="Arial" w:ascii="Arial" w:hAnsi="Arial"/>
                <w:sz w:val="20"/>
                <w:lang w:val="en-GB"/>
              </w:rPr>
              <w:t>conditionals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lang w:val="en-GB"/>
              </w:rPr>
            </w:pPr>
            <w:r>
              <w:rPr>
                <w:rFonts w:cs="Arial" w:ascii="Arial" w:hAnsi="Arial"/>
                <w:sz w:val="20"/>
                <w:lang w:val="en-GB"/>
              </w:rPr>
              <w:t>wish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lang w:val="en-GB"/>
              </w:rPr>
            </w:pPr>
            <w:r>
              <w:rPr>
                <w:rFonts w:cs="Arial" w:ascii="Arial" w:hAnsi="Arial"/>
                <w:sz w:val="20"/>
                <w:lang w:val="en-GB"/>
              </w:rPr>
              <w:t xml:space="preserve">-ed and –ing adjectives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lang w:val="en-GB"/>
              </w:rPr>
            </w:pPr>
            <w:r>
              <w:rPr>
                <w:rFonts w:cs="Arial" w:ascii="Arial" w:hAnsi="Arial"/>
                <w:sz w:val="20"/>
                <w:lang w:val="en-GB"/>
              </w:rPr>
              <w:t>be/get used to/used to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lang w:val="en-GB"/>
              </w:rPr>
            </w:pPr>
            <w:r>
              <w:rPr>
                <w:rFonts w:cs="Arial" w:ascii="Arial" w:hAnsi="Arial"/>
                <w:sz w:val="20"/>
                <w:lang w:val="en-GB"/>
              </w:rPr>
              <w:t>gerunds and infinitives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lang w:val="en-GB"/>
              </w:rPr>
            </w:pPr>
            <w:r>
              <w:rPr>
                <w:rFonts w:cs="Arial" w:ascii="Arial" w:hAnsi="Arial"/>
                <w:sz w:val="20"/>
                <w:lang w:val="en-GB"/>
              </w:rPr>
            </w:r>
          </w:p>
        </w:tc>
      </w:tr>
    </w:tbl>
    <w:p>
      <w:pPr>
        <w:pStyle w:val="Normal1"/>
        <w:rPr>
          <w:rFonts w:ascii="Arial" w:hAnsi="Arial" w:eastAsia="Arial" w:cs="Arial"/>
          <w:sz w:val="22"/>
          <w:szCs w:val="22"/>
          <w:lang w:val="en-GB"/>
        </w:rPr>
      </w:pPr>
      <w:r>
        <w:rPr>
          <w:rFonts w:eastAsia="Arial" w:cs="Arial" w:ascii="Arial" w:hAnsi="Arial"/>
          <w:sz w:val="22"/>
          <w:szCs w:val="22"/>
          <w:lang w:val="en-GB"/>
        </w:rPr>
      </w:r>
    </w:p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  <w:t>Wykaz literatury podstawowej</w:t>
      </w:r>
    </w:p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tbl>
      <w:tblPr>
        <w:tblStyle w:val="ac"/>
        <w:tblW w:w="9622" w:type="dxa"/>
        <w:jc w:val="left"/>
        <w:tblInd w:w="-7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9622"/>
      </w:tblGrid>
      <w:tr>
        <w:trPr>
          <w:trHeight w:val="1080" w:hRule="atLeast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1"/>
              <w:widowControl w:val="false"/>
              <w:rPr>
                <w:rFonts w:ascii="Arial" w:hAnsi="Arial" w:eastAsia="Arial" w:cs="Arial"/>
                <w:sz w:val="22"/>
                <w:szCs w:val="22"/>
                <w:lang w:val="en-GB"/>
              </w:rPr>
            </w:pPr>
            <w:r>
              <w:rPr>
                <w:rFonts w:cs="Arial" w:ascii="Arial" w:hAnsi="Arial"/>
                <w:sz w:val="20"/>
                <w:lang w:val="en-US"/>
              </w:rPr>
              <w:t>1. Latham-Koenig C., Oxenden C., Chomacki, K., English File Upper-Intermediate Student’s Book, 4</w:t>
            </w:r>
            <w:r>
              <w:rPr>
                <w:rFonts w:cs="Arial" w:ascii="Arial" w:hAnsi="Arial"/>
                <w:sz w:val="20"/>
                <w:vertAlign w:val="superscript"/>
                <w:lang w:val="en-US"/>
              </w:rPr>
              <w:t>th</w:t>
            </w:r>
            <w:r>
              <w:rPr>
                <w:rFonts w:cs="Arial" w:ascii="Arial" w:hAnsi="Arial"/>
                <w:sz w:val="20"/>
                <w:lang w:val="en-US"/>
              </w:rPr>
              <w:t xml:space="preserve"> edition. OUP, 2020.</w:t>
            </w:r>
          </w:p>
        </w:tc>
      </w:tr>
    </w:tbl>
    <w:p>
      <w:pPr>
        <w:pStyle w:val="Normal1"/>
        <w:rPr>
          <w:rFonts w:ascii="Arial" w:hAnsi="Arial" w:eastAsia="Arial" w:cs="Arial"/>
          <w:sz w:val="22"/>
          <w:szCs w:val="22"/>
          <w:lang w:val="en-GB"/>
        </w:rPr>
      </w:pPr>
      <w:r>
        <w:rPr>
          <w:rFonts w:eastAsia="Arial" w:cs="Arial" w:ascii="Arial" w:hAnsi="Arial"/>
          <w:sz w:val="22"/>
          <w:szCs w:val="22"/>
          <w:lang w:val="en-GB"/>
        </w:rPr>
      </w:r>
    </w:p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  <w:t>Wykaz literatury uzupełniającej</w:t>
      </w:r>
    </w:p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tbl>
      <w:tblPr>
        <w:tblStyle w:val="ad"/>
        <w:tblW w:w="9622" w:type="dxa"/>
        <w:jc w:val="left"/>
        <w:tblInd w:w="-7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9622"/>
      </w:tblGrid>
      <w:tr>
        <w:trPr>
          <w:trHeight w:val="1100" w:hRule="atLeast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cs="Arial" w:ascii="Arial" w:hAnsi="Arial"/>
                <w:sz w:val="20"/>
                <w:lang w:val="en-US"/>
              </w:rPr>
              <w:t>1. Latham-Koenig C., Oxenden C., Chomacki, K., English File Upper-Intermediate Workbook, 4</w:t>
            </w:r>
            <w:r>
              <w:rPr>
                <w:rFonts w:cs="Arial" w:ascii="Arial" w:hAnsi="Arial"/>
                <w:sz w:val="20"/>
                <w:vertAlign w:val="superscript"/>
                <w:lang w:val="en-US"/>
              </w:rPr>
              <w:t>th</w:t>
            </w:r>
            <w:r>
              <w:rPr>
                <w:rFonts w:cs="Arial" w:ascii="Arial" w:hAnsi="Arial"/>
                <w:sz w:val="20"/>
                <w:lang w:val="en-US"/>
              </w:rPr>
              <w:t xml:space="preserve"> edition. OUP, 2020.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cs="Arial" w:ascii="Arial" w:hAnsi="Arial"/>
                <w:sz w:val="20"/>
                <w:lang w:val="en-US"/>
              </w:rPr>
              <w:t xml:space="preserve">2. Thomson A.J., Martinet A.V., A Practical English Grammar: Exercises 1 &amp; 2, OUP, Oxford 1986.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cs="Arial" w:ascii="Arial" w:hAnsi="Arial"/>
                <w:sz w:val="20"/>
                <w:lang w:val="en-US"/>
              </w:rPr>
              <w:t xml:space="preserve">3. Murphy R., English Grammar in Use, CUP, Cambridge 1998.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cs="Arial" w:ascii="Arial" w:hAnsi="Arial"/>
                <w:sz w:val="20"/>
                <w:lang w:val="en-US"/>
              </w:rPr>
              <w:t xml:space="preserve">4. Watcyn-Jones P., Test Your Vocabulary Books 1-5, Pearson Education Ltd, various editions.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cs="Arial" w:ascii="Arial" w:hAnsi="Arial"/>
                <w:sz w:val="20"/>
                <w:lang w:val="en-US"/>
              </w:rPr>
              <w:t>5. Acklam R., Crace A., Total English Upper-Intermediate, Longman, 2006.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cs="Arial" w:ascii="Arial" w:hAnsi="Arial"/>
                <w:sz w:val="20"/>
                <w:lang w:val="en-US"/>
              </w:rPr>
              <w:t xml:space="preserve">6. Kay S., Jones V., New Inside Out Upper-Intermediate, Macmillan, 2009.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cs="Arial" w:ascii="Arial" w:hAnsi="Arial"/>
                <w:sz w:val="20"/>
                <w:lang w:val="en-US"/>
              </w:rPr>
              <w:t xml:space="preserve">7. Cotton D., Falvey D., Kent S., Language Leader Upper-Intermediate, Pearson Education Ltd, 2008.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cs="Arial" w:ascii="Arial" w:hAnsi="Arial"/>
                <w:sz w:val="20"/>
                <w:lang w:val="en-US"/>
              </w:rPr>
              <w:t xml:space="preserve">8. Eales F., Oakes S., Speakout Upper-Intermediate, Pearson, 2011.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cs="Arial" w:ascii="Arial" w:hAnsi="Arial"/>
                <w:sz w:val="20"/>
                <w:lang w:val="en-US"/>
              </w:rPr>
              <w:t xml:space="preserve">9. Clanfield L., Benne R. R., Global Upper-Intermediate, Macmillan Education, Oxford 2011.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cs="Arial" w:ascii="Arial" w:hAnsi="Arial"/>
                <w:sz w:val="20"/>
                <w:lang w:val="en-US"/>
              </w:rPr>
              <w:t>10. Jacob, M., Strutt, P., English for International Tourism Upper Intermediate Course Book, Pearson, 2007.Mann M., Taylore-Knowles S., Destination B2, Macmillan Education, 2008.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cs="Arial" w:ascii="Arial" w:hAnsi="Arial"/>
                <w:sz w:val="20"/>
                <w:lang w:val="en-US"/>
              </w:rPr>
              <w:t xml:space="preserve">11. Hornby A. S., Oxford Advanced Learner’s Dictionary, OUP, various editions i inne słowniki. </w:t>
            </w:r>
          </w:p>
          <w:p>
            <w:pPr>
              <w:pStyle w:val="Normal1"/>
              <w:widowControl w:val="false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lang w:val="en-US"/>
              </w:rPr>
              <w:t>12.źródła internetowe, materiały autorskie</w:t>
            </w:r>
          </w:p>
          <w:p>
            <w:pPr>
              <w:pStyle w:val="Normal1"/>
              <w:widowControl w:val="false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</w:tr>
    </w:tbl>
    <w:p>
      <w:pPr>
        <w:pStyle w:val="Normal1"/>
        <w:rPr>
          <w:rFonts w:ascii="Arial" w:hAnsi="Arial" w:eastAsia="Arial" w:cs="Arial"/>
          <w:sz w:val="22"/>
          <w:szCs w:val="22"/>
          <w:highlight w:val="yellow"/>
        </w:rPr>
      </w:pPr>
      <w:r>
        <w:rPr>
          <w:rFonts w:eastAsia="Arial" w:cs="Arial" w:ascii="Arial" w:hAnsi="Arial"/>
          <w:sz w:val="22"/>
          <w:szCs w:val="22"/>
          <w:highlight w:val="yellow"/>
        </w:rPr>
      </w:r>
    </w:p>
    <w:p>
      <w:pPr>
        <w:pStyle w:val="Normal1"/>
        <w:pBdr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Normal1"/>
        <w:pBdr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  <w:t>Bilans godzinowy zgodny z CNPS (Całkowity Nakład Pracy Studenta)</w:t>
      </w:r>
    </w:p>
    <w:p>
      <w:pPr>
        <w:pStyle w:val="Normal1"/>
        <w:pBdr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tbl>
      <w:tblPr>
        <w:tblStyle w:val="ae"/>
        <w:tblW w:w="958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00"/>
      </w:tblPr>
      <w:tblGrid>
        <w:gridCol w:w="2766"/>
        <w:gridCol w:w="5749"/>
        <w:gridCol w:w="1067"/>
      </w:tblGrid>
      <w:tr>
        <w:trPr>
          <w:trHeight w:val="320" w:hRule="atLeast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spacing w:lineRule="auto" w:line="276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liczba godzin w kontakcie z prowadzącymi</w:t>
            </w:r>
          </w:p>
        </w:tc>
        <w:tc>
          <w:tcPr>
            <w:tcW w:w="574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1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Wykład</w:t>
            </w:r>
          </w:p>
        </w:tc>
        <w:tc>
          <w:tcPr>
            <w:tcW w:w="10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1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</w:tr>
      <w:tr>
        <w:trPr>
          <w:trHeight w:val="320" w:hRule="atLeast"/>
        </w:trPr>
        <w:tc>
          <w:tcPr>
            <w:tcW w:w="2766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pBdr/>
              <w:spacing w:lineRule="auto" w:line="276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574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1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Konwersatorium (ćwiczenia, laboratorium itd.)</w:t>
            </w:r>
          </w:p>
        </w:tc>
        <w:tc>
          <w:tcPr>
            <w:tcW w:w="10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1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40</w:t>
            </w:r>
          </w:p>
        </w:tc>
      </w:tr>
      <w:tr>
        <w:trPr>
          <w:trHeight w:val="660" w:hRule="atLeast"/>
        </w:trPr>
        <w:tc>
          <w:tcPr>
            <w:tcW w:w="2766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pBdr/>
              <w:spacing w:lineRule="auto" w:line="276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574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1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0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1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5</w:t>
            </w:r>
          </w:p>
        </w:tc>
      </w:tr>
      <w:tr>
        <w:trPr>
          <w:trHeight w:val="340" w:hRule="atLeast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spacing w:lineRule="auto" w:line="276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liczba godzin pracy studenta bez kontaktu z prowadzącymi</w:t>
            </w:r>
          </w:p>
        </w:tc>
        <w:tc>
          <w:tcPr>
            <w:tcW w:w="574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1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0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1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7</w:t>
            </w:r>
          </w:p>
        </w:tc>
      </w:tr>
      <w:tr>
        <w:trPr>
          <w:trHeight w:val="700" w:hRule="atLeast"/>
        </w:trPr>
        <w:tc>
          <w:tcPr>
            <w:tcW w:w="2766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pBdr/>
              <w:spacing w:lineRule="auto" w:line="276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574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1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Przygotowanie krótkiej pracy pisemnej lub referatu po zapoznaniu się z niezbędną literaturą przedmiotu</w:t>
            </w:r>
          </w:p>
        </w:tc>
        <w:tc>
          <w:tcPr>
            <w:tcW w:w="10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1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6</w:t>
            </w:r>
          </w:p>
        </w:tc>
      </w:tr>
      <w:tr>
        <w:trPr>
          <w:trHeight w:val="720" w:hRule="atLeast"/>
        </w:trPr>
        <w:tc>
          <w:tcPr>
            <w:tcW w:w="2766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pBdr/>
              <w:spacing w:lineRule="auto" w:line="276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574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1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Przygotowanie projektu lub prezentacji na podany temat (praca w grupie)</w:t>
            </w:r>
          </w:p>
        </w:tc>
        <w:tc>
          <w:tcPr>
            <w:tcW w:w="10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1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7</w:t>
            </w:r>
          </w:p>
        </w:tc>
      </w:tr>
      <w:tr>
        <w:trPr>
          <w:trHeight w:val="360" w:hRule="atLeast"/>
        </w:trPr>
        <w:tc>
          <w:tcPr>
            <w:tcW w:w="2766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pBdr/>
              <w:spacing w:lineRule="auto" w:line="276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574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1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Przygotowanie do egzaminu/zaliczenia</w:t>
            </w:r>
          </w:p>
        </w:tc>
        <w:tc>
          <w:tcPr>
            <w:tcW w:w="10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1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10</w:t>
            </w:r>
          </w:p>
        </w:tc>
      </w:tr>
      <w:tr>
        <w:trPr>
          <w:trHeight w:val="360" w:hRule="atLeast"/>
        </w:trPr>
        <w:tc>
          <w:tcPr>
            <w:tcW w:w="8515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Ogółem bilans czasu pracy</w:t>
            </w:r>
          </w:p>
        </w:tc>
        <w:tc>
          <w:tcPr>
            <w:tcW w:w="10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1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75</w:t>
            </w:r>
          </w:p>
        </w:tc>
      </w:tr>
      <w:tr>
        <w:trPr>
          <w:trHeight w:val="380" w:hRule="atLeast"/>
        </w:trPr>
        <w:tc>
          <w:tcPr>
            <w:tcW w:w="8515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1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Liczba punktów ECTS w zależności od przyjętego przelicznika</w:t>
            </w:r>
          </w:p>
        </w:tc>
        <w:tc>
          <w:tcPr>
            <w:tcW w:w="10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1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3</w:t>
            </w:r>
          </w:p>
        </w:tc>
      </w:tr>
    </w:tbl>
    <w:p>
      <w:pPr>
        <w:pStyle w:val="Normal1"/>
        <w:pBdr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Normal1"/>
        <w:pBdr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pBdr/>
        <w:rPr>
          <w:rFonts w:ascii="Arial" w:hAnsi="Arial" w:eastAsia="Arial" w:cs="Arial"/>
          <w:color w:val="000000"/>
          <w:sz w:val="22"/>
          <w:szCs w:val="22"/>
        </w:rPr>
      </w:pPr>
      <w:r>
        <w:rPr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134" w:right="1134" w:gutter="0" w:header="454" w:top="1276" w:footer="709" w:bottom="1134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Verdana">
    <w:charset w:val="ee"/>
    <w:family w:val="swiss"/>
    <w:pitch w:val="variable"/>
  </w:font>
  <w:font w:name="Liberation Sans">
    <w:altName w:val="Arial"/>
    <w:charset w:val="ee"/>
    <w:family w:val="swiss"/>
    <w:pitch w:val="variable"/>
  </w:font>
  <w:font w:name="Georgia"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Arial">
    <w:charset w:val="ee"/>
    <w:family w:val="roman"/>
    <w:pitch w:val="variable"/>
  </w:font>
  <w:font w:name="Candara">
    <w:charset w:val="ee"/>
    <w:family w:val="roman"/>
    <w:pitch w:val="variable"/>
  </w:font>
  <w:font w:name="Segoe UI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pBdr/>
      <w:tabs>
        <w:tab w:val="clear" w:pos="720"/>
        <w:tab w:val="center" w:pos="4536" w:leader="none"/>
        <w:tab w:val="right" w:pos="9072" w:leader="none"/>
      </w:tabs>
      <w:rPr>
        <w:color w:val="000000"/>
      </w:rPr>
    </w:pPr>
    <w:r>
      <w:rPr>
        <w:color w:val="000000"/>
      </w:rPr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pBdr/>
      <w:tabs>
        <w:tab w:val="clear" w:pos="720"/>
        <w:tab w:val="center" w:pos="4536" w:leader="none"/>
        <w:tab w:val="right" w:pos="9072" w:leader="none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 xml:space="preserve"> PAGE </w:instrText>
    </w:r>
    <w:r>
      <w:rPr>
        <w:color w:val="000000"/>
      </w:rPr>
      <w:fldChar w:fldCharType="separate"/>
    </w:r>
    <w:r>
      <w:rPr>
        <w:color w:val="000000"/>
      </w:rPr>
      <w:t>5</w:t>
    </w:r>
    <w:r>
      <w:rPr>
        <w:color w:val="000000"/>
      </w:rPr>
      <w:fldChar w:fldCharType="end"/>
    </w:r>
  </w:p>
  <w:p>
    <w:pPr>
      <w:pStyle w:val="Normal1"/>
      <w:pBdr/>
      <w:tabs>
        <w:tab w:val="clear" w:pos="720"/>
        <w:tab w:val="center" w:pos="4536" w:leader="none"/>
        <w:tab w:val="right" w:pos="9072" w:leader="none"/>
      </w:tabs>
      <w:rPr>
        <w:color w:val="000000"/>
      </w:rPr>
    </w:pPr>
    <w:r>
      <w:rPr>
        <w:color w:val="000000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pBdr/>
      <w:tabs>
        <w:tab w:val="clear" w:pos="720"/>
        <w:tab w:val="center" w:pos="4536" w:leader="none"/>
        <w:tab w:val="right" w:pos="9072" w:leader="none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 xml:space="preserve"> PAGE </w:instrText>
    </w:r>
    <w:r>
      <w:rPr>
        <w:color w:val="000000"/>
      </w:rPr>
      <w:fldChar w:fldCharType="separate"/>
    </w:r>
    <w:r>
      <w:rPr>
        <w:color w:val="000000"/>
      </w:rPr>
      <w:t>5</w:t>
    </w:r>
    <w:r>
      <w:rPr>
        <w:color w:val="000000"/>
      </w:rPr>
      <w:fldChar w:fldCharType="end"/>
    </w:r>
  </w:p>
  <w:p>
    <w:pPr>
      <w:pStyle w:val="Normal1"/>
      <w:pBdr/>
      <w:tabs>
        <w:tab w:val="clear" w:pos="720"/>
        <w:tab w:val="center" w:pos="4536" w:leader="none"/>
        <w:tab w:val="right" w:pos="9072" w:leader="none"/>
      </w:tabs>
      <w:rPr>
        <w:color w:val="000000"/>
      </w:rPr>
    </w:pPr>
    <w:r>
      <w:rPr>
        <w:color w:val="000000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true"/>
      <w:pBdr/>
      <w:spacing w:before="240" w:after="120"/>
      <w:rPr>
        <w:rFonts w:ascii="Arial" w:hAnsi="Arial" w:eastAsia="Arial" w:cs="Arial"/>
        <w:color w:val="000000"/>
        <w:sz w:val="28"/>
        <w:szCs w:val="28"/>
      </w:rPr>
    </w:pPr>
    <w:r>
      <w:rPr>
        <w:rFonts w:eastAsia="Arial" w:cs="Arial" w:ascii="Arial" w:hAnsi="Arial"/>
        <w:color w:val="000000"/>
        <w:sz w:val="28"/>
        <w:szCs w:val="28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true"/>
      <w:pBdr/>
      <w:jc w:val="right"/>
      <w:rPr>
        <w:rFonts w:ascii="Arial" w:hAnsi="Arial" w:eastAsia="Arial" w:cs="Arial"/>
        <w:b/>
        <w:b/>
        <w:i/>
        <w:i/>
        <w:color w:val="800000"/>
        <w:sz w:val="18"/>
        <w:szCs w:val="18"/>
      </w:rPr>
    </w:pPr>
    <w:r>
      <w:rPr>
        <w:rFonts w:eastAsia="Arial" w:cs="Arial" w:ascii="Arial" w:hAnsi="Arial"/>
        <w:b/>
        <w:i/>
        <w:color w:val="800000"/>
        <w:sz w:val="18"/>
        <w:szCs w:val="18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true"/>
      <w:pBdr/>
      <w:jc w:val="right"/>
      <w:rPr>
        <w:rFonts w:ascii="Arial" w:hAnsi="Arial" w:eastAsia="Arial" w:cs="Arial"/>
        <w:b/>
        <w:b/>
        <w:i/>
        <w:i/>
        <w:color w:val="800000"/>
        <w:sz w:val="18"/>
        <w:szCs w:val="18"/>
      </w:rPr>
    </w:pPr>
    <w:r>
      <w:rPr>
        <w:rFonts w:eastAsia="Arial" w:cs="Arial" w:ascii="Arial" w:hAnsi="Arial"/>
        <w:b/>
        <w:i/>
        <w:color w:val="800000"/>
        <w:sz w:val="18"/>
        <w:szCs w:val="18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defaultTabStop w:val="720"/>
  <w:autoHyphenation w:val="true"/>
  <w:compat>
    <w:compatSetting w:name="compatibilityMode" w:uri="http://schemas.microsoft.com/office/word" w:val="12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4"/>
        <w:szCs w:val="24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830e7"/>
    <w:pPr>
      <w:widowControl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paragraph" w:styleId="Heading1">
    <w:name w:val="Heading 1"/>
    <w:basedOn w:val="Normal1"/>
    <w:next w:val="Normal1"/>
    <w:qFormat/>
    <w:rsid w:val="006d6ee5"/>
    <w:pPr>
      <w:keepNext w:val="true"/>
      <w:jc w:val="center"/>
      <w:outlineLvl w:val="0"/>
    </w:pPr>
    <w:rPr>
      <w:rFonts w:ascii="Verdana" w:hAnsi="Verdana" w:eastAsia="Verdana" w:cs="Verdana"/>
      <w:sz w:val="28"/>
      <w:szCs w:val="28"/>
    </w:rPr>
  </w:style>
  <w:style w:type="paragraph" w:styleId="Heading2">
    <w:name w:val="Heading 2"/>
    <w:basedOn w:val="Normal1"/>
    <w:next w:val="Normal1"/>
    <w:qFormat/>
    <w:rsid w:val="006d6ee5"/>
    <w:pPr>
      <w:keepNext w:val="true"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1"/>
    <w:next w:val="Normal1"/>
    <w:qFormat/>
    <w:rsid w:val="006d6ee5"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1"/>
    <w:next w:val="Normal1"/>
    <w:qFormat/>
    <w:rsid w:val="006d6ee5"/>
    <w:pPr>
      <w:keepNext w:val="true"/>
      <w:keepLines/>
      <w:spacing w:before="240" w:after="40"/>
      <w:outlineLvl w:val="3"/>
    </w:pPr>
    <w:rPr>
      <w:b/>
    </w:rPr>
  </w:style>
  <w:style w:type="paragraph" w:styleId="Heading5">
    <w:name w:val="Heading 5"/>
    <w:basedOn w:val="Normal1"/>
    <w:next w:val="Normal1"/>
    <w:qFormat/>
    <w:rsid w:val="006d6ee5"/>
    <w:pPr>
      <w:keepNext w:val="true"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1"/>
    <w:next w:val="Normal1"/>
    <w:qFormat/>
    <w:rsid w:val="006d6ee5"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Znakinumeracji" w:customStyle="1">
    <w:name w:val="Znaki numeracji"/>
    <w:qFormat/>
    <w:rsid w:val="009e7c59"/>
    <w:rPr/>
  </w:style>
  <w:style w:type="character" w:styleId="Normaltextrun" w:customStyle="1">
    <w:name w:val="normaltextrun"/>
    <w:basedOn w:val="DefaultParagraphFont"/>
    <w:qFormat/>
    <w:rsid w:val="009e7c59"/>
    <w:rPr/>
  </w:style>
  <w:style w:type="character" w:styleId="Eop" w:customStyle="1">
    <w:name w:val="eop"/>
    <w:basedOn w:val="DefaultParagraphFont"/>
    <w:qFormat/>
    <w:rsid w:val="009e7c59"/>
    <w:rPr/>
  </w:style>
  <w:style w:type="character" w:styleId="Spellingerror" w:customStyle="1">
    <w:name w:val="spellingerror"/>
    <w:basedOn w:val="DefaultParagraphFont"/>
    <w:qFormat/>
    <w:rsid w:val="009e7c59"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Normal1" w:customStyle="1">
    <w:name w:val="LO-normal"/>
    <w:qFormat/>
    <w:rsid w:val="006d6ee5"/>
    <w:pPr>
      <w:widowControl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paragraph" w:styleId="Title">
    <w:name w:val="Title"/>
    <w:basedOn w:val="Normal1"/>
    <w:next w:val="Normal1"/>
    <w:qFormat/>
    <w:rsid w:val="006d6ee5"/>
    <w:pPr>
      <w:keepNext w:val="true"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1"/>
    <w:next w:val="Normal1"/>
    <w:qFormat/>
    <w:rsid w:val="006d6ee5"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Paragraph" w:customStyle="1">
    <w:name w:val="paragraph"/>
    <w:basedOn w:val="Normal"/>
    <w:qFormat/>
    <w:rsid w:val="009e7c59"/>
    <w:pPr>
      <w:widowControl/>
    </w:pPr>
    <w:rPr>
      <w:rFonts w:ascii="Calibri" w:hAnsi="Calibri" w:cs="Calibri"/>
      <w:sz w:val="22"/>
      <w:szCs w:val="22"/>
    </w:rPr>
  </w:style>
  <w:style w:type="paragraph" w:styleId="Tekstdymka1" w:customStyle="1">
    <w:name w:val="Tekst dymka1"/>
    <w:basedOn w:val="Normal"/>
    <w:qFormat/>
    <w:rsid w:val="009e7c59"/>
    <w:pPr>
      <w:suppressAutoHyphens w:val="true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HeaderandFooter"/>
    <w:pPr/>
    <w:rPr/>
  </w:style>
  <w:style w:type="paragraph" w:styleId="Footer">
    <w:name w:val="Footer"/>
    <w:basedOn w:val="HeaderandFooter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Normal Table0"/>
    <w:rsid w:val="006d6ee5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<Relationship Id="rId13" Type="http://schemas.openxmlformats.org/officeDocument/2006/relationships/customXml" Target="../customXml/item2.xml"/><Relationship Id="rId14" Type="http://schemas.openxmlformats.org/officeDocument/2006/relationships/customXml" Target="../customXml/item3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9C5A50395229A43A324A9C35EFD3B10" ma:contentTypeVersion="4" ma:contentTypeDescription="Utwórz nowy dokument." ma:contentTypeScope="" ma:versionID="cfc7df20a33f5743154e16b7fdd089c4">
  <xsd:schema xmlns:xsd="http://www.w3.org/2001/XMLSchema" xmlns:xs="http://www.w3.org/2001/XMLSchema" xmlns:p="http://schemas.microsoft.com/office/2006/metadata/properties" xmlns:ns2="8c29c5d2-85d2-43b4-af98-e7119c4ac7cc" xmlns:ns3="5468af13-47ef-4a0f-9757-82f5d18e8547" targetNamespace="http://schemas.microsoft.com/office/2006/metadata/properties" ma:root="true" ma:fieldsID="d7ee7c7440b80bee9d5766edc85c6210" ns2:_="" ns3:_="">
    <xsd:import namespace="8c29c5d2-85d2-43b4-af98-e7119c4ac7cc"/>
    <xsd:import namespace="5468af13-47ef-4a0f-9757-82f5d18e854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29c5d2-85d2-43b4-af98-e7119c4ac7c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68af13-47ef-4a0f-9757-82f5d18e854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4D26B92-F06D-4D74-B5BE-D2B0E654646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20A676-61CA-42C1-ACFB-B6C22A42A76D}"/>
</file>

<file path=customXml/itemProps3.xml><?xml version="1.0" encoding="utf-8"?>
<ds:datastoreItem xmlns:ds="http://schemas.openxmlformats.org/officeDocument/2006/customXml" ds:itemID="{483C5A5F-409D-4AED-BDF4-2D065A5E9D7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Application>LibreOffice/7.4.5.1$Windows_X86_64 LibreOffice_project/9c0871452b3918c1019dde9bfac75448afc4b57f</Application>
  <AppVersion>15.0000</AppVersion>
  <Pages>5</Pages>
  <Words>963</Words>
  <Characters>6140</Characters>
  <CharactersWithSpaces>6938</CharactersWithSpaces>
  <Paragraphs>199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2020-10-13T12:24:00Z</dcterms:created>
  <dc:creator/>
  <dc:description/>
  <dc:language>en-GB</dc:language>
  <cp:lastModifiedBy/>
  <dcterms:modified xsi:type="dcterms:W3CDTF">2023-09-14T16:16:46Z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0x01010039C5A50395229A43A324A9C35EFD3B10</vt:lpwstr>
  </property>
</Properties>
</file>